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9EC20" w14:textId="63A1FE80" w:rsidR="08E1FDED" w:rsidRPr="002E1CD2" w:rsidRDefault="08E1FDED" w:rsidP="08E1FDED">
      <w:pPr>
        <w:spacing w:before="900"/>
        <w:jc w:val="center"/>
        <w:rPr>
          <w:rFonts w:asciiTheme="majorHAnsi" w:eastAsiaTheme="majorEastAsia" w:hAnsiTheme="majorHAnsi" w:cstheme="majorHAnsi"/>
          <w:b/>
          <w:bCs/>
          <w:sz w:val="20"/>
          <w:szCs w:val="20"/>
        </w:rPr>
      </w:pPr>
    </w:p>
    <w:p w14:paraId="5427418D" w14:textId="5594BCC0" w:rsidR="00E70A53" w:rsidRPr="00D44AD1" w:rsidRDefault="08E1FDED" w:rsidP="08E1FDED">
      <w:pPr>
        <w:spacing w:before="900"/>
        <w:jc w:val="center"/>
        <w:rPr>
          <w:rFonts w:asciiTheme="majorHAnsi" w:eastAsiaTheme="majorEastAsia" w:hAnsiTheme="majorHAnsi" w:cstheme="majorHAnsi"/>
          <w:b/>
          <w:bCs/>
          <w:sz w:val="44"/>
          <w:szCs w:val="44"/>
        </w:rPr>
      </w:pPr>
      <w:r w:rsidRPr="00D44AD1">
        <w:rPr>
          <w:rFonts w:asciiTheme="majorHAnsi" w:eastAsiaTheme="majorEastAsia" w:hAnsiTheme="majorHAnsi" w:cstheme="majorHAnsi"/>
          <w:b/>
          <w:bCs/>
          <w:sz w:val="44"/>
          <w:szCs w:val="44"/>
        </w:rPr>
        <w:t>NENE VALLEY</w:t>
      </w:r>
      <w:r w:rsidR="00EC6E2C" w:rsidRPr="00D44AD1">
        <w:rPr>
          <w:rFonts w:asciiTheme="majorHAnsi" w:hAnsiTheme="majorHAnsi" w:cstheme="majorHAnsi"/>
          <w:sz w:val="44"/>
          <w:szCs w:val="44"/>
        </w:rPr>
        <w:br/>
      </w:r>
      <w:r w:rsidRPr="00D44AD1">
        <w:rPr>
          <w:rFonts w:asciiTheme="majorHAnsi" w:eastAsiaTheme="majorEastAsia" w:hAnsiTheme="majorHAnsi" w:cstheme="majorHAnsi"/>
          <w:b/>
          <w:bCs/>
          <w:sz w:val="44"/>
          <w:szCs w:val="44"/>
        </w:rPr>
        <w:t>PRIMARY SCHOOL</w:t>
      </w:r>
    </w:p>
    <w:p w14:paraId="40AB129D" w14:textId="72AED2D7" w:rsidR="003B7E09" w:rsidRPr="00D44AD1" w:rsidRDefault="003B7E09" w:rsidP="003B7E09">
      <w:pPr>
        <w:spacing w:before="900"/>
        <w:rPr>
          <w:rFonts w:asciiTheme="majorHAnsi" w:hAnsiTheme="majorHAnsi" w:cstheme="majorHAnsi"/>
          <w:sz w:val="44"/>
          <w:szCs w:val="44"/>
        </w:rPr>
      </w:pPr>
      <w:r w:rsidRPr="00D44AD1">
        <w:rPr>
          <w:rFonts w:asciiTheme="majorHAnsi" w:hAnsiTheme="majorHAnsi" w:cstheme="majorHAnsi"/>
          <w:noProof/>
          <w:sz w:val="44"/>
          <w:szCs w:val="44"/>
        </w:rPr>
        <w:drawing>
          <wp:anchor distT="0" distB="0" distL="114300" distR="114300" simplePos="0" relativeHeight="251658240" behindDoc="0" locked="0" layoutInCell="1" allowOverlap="1" wp14:anchorId="0EA2E87B" wp14:editId="453E36A7">
            <wp:simplePos x="0" y="0"/>
            <wp:positionH relativeFrom="column">
              <wp:posOffset>1941499</wp:posOffset>
            </wp:positionH>
            <wp:positionV relativeFrom="paragraph">
              <wp:posOffset>113693</wp:posOffset>
            </wp:positionV>
            <wp:extent cx="2862470" cy="2512801"/>
            <wp:effectExtent l="0" t="0" r="0" b="1905"/>
            <wp:wrapNone/>
            <wp:docPr id="17854552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24801" name="Picture 1670124801"/>
                    <pic:cNvPicPr/>
                  </pic:nvPicPr>
                  <pic:blipFill>
                    <a:blip r:embed="rId8">
                      <a:extLst>
                        <a:ext uri="{28A0092B-C50C-407E-A947-70E740481C1C}">
                          <a14:useLocalDpi xmlns:a14="http://schemas.microsoft.com/office/drawing/2010/main"/>
                        </a:ext>
                      </a:extLst>
                    </a:blip>
                    <a:stretch>
                      <a:fillRect/>
                    </a:stretch>
                  </pic:blipFill>
                  <pic:spPr>
                    <a:xfrm>
                      <a:off x="0" y="0"/>
                      <a:ext cx="2862470" cy="2512801"/>
                    </a:xfrm>
                    <a:prstGeom prst="rect">
                      <a:avLst/>
                    </a:prstGeom>
                  </pic:spPr>
                </pic:pic>
              </a:graphicData>
            </a:graphic>
            <wp14:sizeRelH relativeFrom="page">
              <wp14:pctWidth>0</wp14:pctWidth>
            </wp14:sizeRelH>
            <wp14:sizeRelV relativeFrom="page">
              <wp14:pctHeight>0</wp14:pctHeight>
            </wp14:sizeRelV>
          </wp:anchor>
        </w:drawing>
      </w:r>
    </w:p>
    <w:p w14:paraId="36D84768" w14:textId="01D565CB" w:rsidR="23763C1C" w:rsidRPr="00D44AD1" w:rsidRDefault="23763C1C" w:rsidP="23763C1C">
      <w:pPr>
        <w:spacing w:before="900"/>
        <w:jc w:val="center"/>
        <w:rPr>
          <w:rFonts w:asciiTheme="majorHAnsi" w:eastAsiaTheme="majorEastAsia" w:hAnsiTheme="majorHAnsi" w:cstheme="majorHAnsi"/>
          <w:b/>
          <w:bCs/>
          <w:sz w:val="44"/>
          <w:szCs w:val="44"/>
        </w:rPr>
      </w:pPr>
    </w:p>
    <w:p w14:paraId="7F1C47AA" w14:textId="2119AEAC" w:rsidR="23763C1C" w:rsidRPr="00D44AD1" w:rsidRDefault="23763C1C" w:rsidP="23763C1C">
      <w:pPr>
        <w:spacing w:before="900"/>
        <w:jc w:val="center"/>
        <w:rPr>
          <w:rFonts w:asciiTheme="majorHAnsi" w:hAnsiTheme="majorHAnsi" w:cstheme="majorHAnsi"/>
          <w:sz w:val="44"/>
          <w:szCs w:val="44"/>
        </w:rPr>
      </w:pPr>
    </w:p>
    <w:p w14:paraId="6B74C848" w14:textId="77777777" w:rsidR="00E70A53" w:rsidRPr="00D44AD1" w:rsidRDefault="08E1FDED" w:rsidP="08E1FDED">
      <w:pPr>
        <w:pStyle w:val="Title"/>
        <w:spacing w:before="300"/>
        <w:jc w:val="center"/>
        <w:rPr>
          <w:rFonts w:cstheme="majorHAnsi"/>
          <w:color w:val="auto"/>
          <w:sz w:val="44"/>
          <w:szCs w:val="44"/>
        </w:rPr>
      </w:pPr>
      <w:r w:rsidRPr="00D44AD1">
        <w:rPr>
          <w:rFonts w:cstheme="majorHAnsi"/>
          <w:color w:val="auto"/>
          <w:sz w:val="44"/>
          <w:szCs w:val="44"/>
        </w:rPr>
        <w:t>Our SENDV Offer</w:t>
      </w:r>
    </w:p>
    <w:p w14:paraId="24A74977" w14:textId="77777777" w:rsidR="00E70A53" w:rsidRPr="002E1CD2" w:rsidRDefault="08E1FDED" w:rsidP="08E1FDED">
      <w:pPr>
        <w:pStyle w:val="Subtitle"/>
        <w:jc w:val="center"/>
        <w:rPr>
          <w:rFonts w:cstheme="majorHAnsi"/>
          <w:color w:val="auto"/>
          <w:sz w:val="20"/>
          <w:szCs w:val="20"/>
        </w:rPr>
      </w:pPr>
      <w:r w:rsidRPr="002E1CD2">
        <w:rPr>
          <w:rFonts w:cstheme="majorHAnsi"/>
          <w:color w:val="auto"/>
          <w:sz w:val="20"/>
          <w:szCs w:val="20"/>
        </w:rPr>
        <w:t>A concise guide for pupils, families, staff, governors and visitors</w:t>
      </w:r>
    </w:p>
    <w:tbl>
      <w:tblPr>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0338"/>
      </w:tblGrid>
      <w:tr w:rsidR="00E70A53" w:rsidRPr="002E1CD2" w14:paraId="0E12E2FD" w14:textId="77777777" w:rsidTr="08E1FDED">
        <w:trPr>
          <w:jc w:val="center"/>
        </w:trPr>
        <w:tc>
          <w:tcPr>
            <w:tcW w:w="10368" w:type="dxa"/>
            <w:shd w:val="clear" w:color="auto" w:fill="DCEEF1"/>
            <w:tcMar>
              <w:top w:w="130" w:type="dxa"/>
              <w:left w:w="150" w:type="dxa"/>
              <w:bottom w:w="130" w:type="dxa"/>
              <w:right w:w="150" w:type="dxa"/>
            </w:tcMar>
          </w:tcPr>
          <w:p w14:paraId="1286E517" w14:textId="77777777" w:rsidR="00E70A53" w:rsidRPr="002E1CD2" w:rsidRDefault="08E1FDED" w:rsidP="08E1FDED">
            <w:pPr>
              <w:spacing w:after="60"/>
              <w:jc w:val="center"/>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Our promise</w:t>
            </w:r>
          </w:p>
          <w:p w14:paraId="5382D493"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Every child will be known, included, challenged and supported to thrive. SENDV is everybody’s business, and the right support begins with excellent teaching and strong relationships.</w:t>
            </w:r>
          </w:p>
        </w:tc>
      </w:tr>
    </w:tbl>
    <w:p w14:paraId="672A6659" w14:textId="77777777" w:rsidR="00E70A53" w:rsidRPr="002E1CD2" w:rsidRDefault="00E70A53" w:rsidP="08E1FDED">
      <w:pPr>
        <w:spacing w:after="0"/>
        <w:rPr>
          <w:rFonts w:asciiTheme="majorHAnsi" w:eastAsiaTheme="majorEastAsia" w:hAnsiTheme="majorHAnsi" w:cstheme="majorHAnsi"/>
          <w:sz w:val="20"/>
          <w:szCs w:val="20"/>
        </w:rPr>
      </w:pPr>
    </w:p>
    <w:p w14:paraId="57BC3F3E" w14:textId="77777777" w:rsidR="00E70A53" w:rsidRPr="002E1CD2" w:rsidRDefault="08E1FDED" w:rsidP="08E1FDED">
      <w:pPr>
        <w:jc w:val="center"/>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2026–2027</w:t>
      </w:r>
    </w:p>
    <w:p w14:paraId="3105DD06" w14:textId="77777777" w:rsidR="00E70A53" w:rsidRPr="002E1CD2" w:rsidRDefault="08E1FDED" w:rsidP="08E1FDED">
      <w:pPr>
        <w:spacing w:before="400"/>
        <w:jc w:val="center"/>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This guide summarises our current school offer. Individual support is always based on assessed need and reviewed impact.</w:t>
      </w:r>
    </w:p>
    <w:p w14:paraId="0A37501D" w14:textId="77777777" w:rsidR="00E70A53" w:rsidRPr="002E1CD2" w:rsidRDefault="00EC6E2C" w:rsidP="08E1FDED">
      <w:pPr>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br w:type="page"/>
      </w:r>
    </w:p>
    <w:p w14:paraId="05F4B280" w14:textId="77777777" w:rsidR="00E70A53" w:rsidRPr="002E1CD2" w:rsidRDefault="08E1FDED" w:rsidP="00D44AD1">
      <w:pPr>
        <w:pStyle w:val="Heading1"/>
        <w:jc w:val="center"/>
        <w:rPr>
          <w:rFonts w:cstheme="majorHAnsi"/>
          <w:color w:val="auto"/>
          <w:sz w:val="20"/>
          <w:szCs w:val="20"/>
        </w:rPr>
      </w:pPr>
      <w:r w:rsidRPr="002E1CD2">
        <w:rPr>
          <w:rFonts w:cstheme="majorHAnsi"/>
          <w:color w:val="auto"/>
          <w:sz w:val="20"/>
          <w:szCs w:val="20"/>
        </w:rPr>
        <w:lastRenderedPageBreak/>
        <w:t>1. Our inclusive approach</w:t>
      </w:r>
    </w:p>
    <w:p w14:paraId="31F9C8BC" w14:textId="49DBF262" w:rsidR="00E70A53" w:rsidRPr="002E1CD2" w:rsidRDefault="08E1FDED" w:rsidP="08E1FDED">
      <w:pPr>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At Nene Valley, inclusion is not a separate activity. It is the way we design the school day, teach the curriculum, build relationships, and work with families. Our approach follows Meridian Trust’s latest SENDV and its seven principles of inclusion.</w:t>
      </w:r>
    </w:p>
    <w:tbl>
      <w:tblPr>
        <w:tblW w:w="10368"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870"/>
        <w:gridCol w:w="4770"/>
        <w:gridCol w:w="4728"/>
      </w:tblGrid>
      <w:tr w:rsidR="00E70A53" w:rsidRPr="002E1CD2" w14:paraId="16B1D909" w14:textId="77777777" w:rsidTr="00BC6B7E">
        <w:trPr>
          <w:trHeight w:val="358"/>
          <w:tblHeader/>
          <w:jc w:val="center"/>
        </w:trPr>
        <w:tc>
          <w:tcPr>
            <w:tcW w:w="870" w:type="dxa"/>
            <w:shd w:val="clear" w:color="auto" w:fill="17365D"/>
            <w:tcMar>
              <w:top w:w="90" w:type="dxa"/>
              <w:left w:w="100" w:type="dxa"/>
              <w:bottom w:w="90" w:type="dxa"/>
              <w:right w:w="100" w:type="dxa"/>
            </w:tcMar>
            <w:vAlign w:val="center"/>
          </w:tcPr>
          <w:p w14:paraId="5DAB6C7B" w14:textId="77777777" w:rsidR="00E70A53" w:rsidRPr="002E1CD2" w:rsidRDefault="00E70A53" w:rsidP="08E1FDED">
            <w:pPr>
              <w:spacing w:after="0"/>
              <w:jc w:val="center"/>
              <w:rPr>
                <w:rFonts w:asciiTheme="majorHAnsi" w:eastAsiaTheme="majorEastAsia" w:hAnsiTheme="majorHAnsi" w:cstheme="majorHAnsi"/>
                <w:sz w:val="20"/>
                <w:szCs w:val="20"/>
              </w:rPr>
            </w:pPr>
          </w:p>
        </w:tc>
        <w:tc>
          <w:tcPr>
            <w:tcW w:w="4770" w:type="dxa"/>
            <w:shd w:val="clear" w:color="auto" w:fill="17365D"/>
            <w:tcMar>
              <w:top w:w="90" w:type="dxa"/>
              <w:left w:w="100" w:type="dxa"/>
              <w:bottom w:w="90" w:type="dxa"/>
              <w:right w:w="100" w:type="dxa"/>
            </w:tcMar>
            <w:vAlign w:val="center"/>
          </w:tcPr>
          <w:p w14:paraId="0BD5E4FE"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Principle</w:t>
            </w:r>
          </w:p>
        </w:tc>
        <w:tc>
          <w:tcPr>
            <w:tcW w:w="4728" w:type="dxa"/>
            <w:shd w:val="clear" w:color="auto" w:fill="17365D"/>
            <w:tcMar>
              <w:top w:w="90" w:type="dxa"/>
              <w:left w:w="100" w:type="dxa"/>
              <w:bottom w:w="90" w:type="dxa"/>
              <w:right w:w="100" w:type="dxa"/>
            </w:tcMar>
            <w:vAlign w:val="center"/>
          </w:tcPr>
          <w:p w14:paraId="1D749B95"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What it means at Nene Valley</w:t>
            </w:r>
          </w:p>
          <w:p w14:paraId="194E43E9" w14:textId="4EE29B67" w:rsidR="00E70A53" w:rsidRPr="002E1CD2" w:rsidRDefault="00E70A53" w:rsidP="08E1FDED">
            <w:pPr>
              <w:spacing w:after="0"/>
              <w:rPr>
                <w:rFonts w:asciiTheme="majorHAnsi" w:eastAsiaTheme="majorEastAsia" w:hAnsiTheme="majorHAnsi" w:cstheme="majorHAnsi"/>
                <w:b/>
                <w:bCs/>
                <w:sz w:val="20"/>
                <w:szCs w:val="20"/>
              </w:rPr>
            </w:pPr>
          </w:p>
        </w:tc>
      </w:tr>
      <w:tr w:rsidR="00E70A53" w:rsidRPr="002E1CD2" w14:paraId="13854BE0" w14:textId="77777777" w:rsidTr="08E1FDED">
        <w:trPr>
          <w:cantSplit/>
          <w:jc w:val="center"/>
        </w:trPr>
        <w:tc>
          <w:tcPr>
            <w:tcW w:w="870" w:type="dxa"/>
            <w:shd w:val="clear" w:color="auto" w:fill="2B7A78"/>
            <w:tcMar>
              <w:top w:w="90" w:type="dxa"/>
              <w:left w:w="100" w:type="dxa"/>
              <w:bottom w:w="90" w:type="dxa"/>
              <w:right w:w="100" w:type="dxa"/>
            </w:tcMar>
            <w:vAlign w:val="center"/>
          </w:tcPr>
          <w:p w14:paraId="649841BE" w14:textId="77777777" w:rsidR="00E70A53" w:rsidRPr="002E1CD2" w:rsidRDefault="08E1FDED" w:rsidP="08E1FDED">
            <w:pPr>
              <w:spacing w:after="0"/>
              <w:jc w:val="center"/>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1</w:t>
            </w:r>
          </w:p>
        </w:tc>
        <w:tc>
          <w:tcPr>
            <w:tcW w:w="4770" w:type="dxa"/>
            <w:tcMar>
              <w:top w:w="90" w:type="dxa"/>
              <w:left w:w="100" w:type="dxa"/>
              <w:bottom w:w="90" w:type="dxa"/>
              <w:right w:w="100" w:type="dxa"/>
            </w:tcMar>
            <w:vAlign w:val="center"/>
          </w:tcPr>
          <w:p w14:paraId="7F2597DF"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Ambitious leadership and governance</w:t>
            </w:r>
          </w:p>
        </w:tc>
        <w:tc>
          <w:tcPr>
            <w:tcW w:w="4728" w:type="dxa"/>
            <w:tcMar>
              <w:top w:w="90" w:type="dxa"/>
              <w:left w:w="100" w:type="dxa"/>
              <w:bottom w:w="90" w:type="dxa"/>
              <w:right w:w="100" w:type="dxa"/>
            </w:tcMar>
            <w:vAlign w:val="center"/>
          </w:tcPr>
          <w:p w14:paraId="36CC3ADE" w14:textId="145F91DF"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Inclusion is central to improvement, accountability, and decision-making.</w:t>
            </w:r>
          </w:p>
        </w:tc>
      </w:tr>
      <w:tr w:rsidR="00E70A53" w:rsidRPr="002E1CD2" w14:paraId="71F48DEF" w14:textId="77777777" w:rsidTr="08E1FDED">
        <w:trPr>
          <w:cantSplit/>
          <w:jc w:val="center"/>
        </w:trPr>
        <w:tc>
          <w:tcPr>
            <w:tcW w:w="870" w:type="dxa"/>
            <w:shd w:val="clear" w:color="auto" w:fill="2B7A78"/>
            <w:tcMar>
              <w:top w:w="90" w:type="dxa"/>
              <w:left w:w="100" w:type="dxa"/>
              <w:bottom w:w="90" w:type="dxa"/>
              <w:right w:w="100" w:type="dxa"/>
            </w:tcMar>
            <w:vAlign w:val="center"/>
          </w:tcPr>
          <w:p w14:paraId="18F999B5" w14:textId="77777777" w:rsidR="00E70A53" w:rsidRPr="002E1CD2" w:rsidRDefault="08E1FDED" w:rsidP="08E1FDED">
            <w:pPr>
              <w:spacing w:after="0"/>
              <w:jc w:val="center"/>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2</w:t>
            </w:r>
          </w:p>
        </w:tc>
        <w:tc>
          <w:tcPr>
            <w:tcW w:w="4770" w:type="dxa"/>
            <w:shd w:val="clear" w:color="auto" w:fill="F4F6F8"/>
            <w:tcMar>
              <w:top w:w="90" w:type="dxa"/>
              <w:left w:w="100" w:type="dxa"/>
              <w:bottom w:w="90" w:type="dxa"/>
              <w:right w:w="100" w:type="dxa"/>
            </w:tcMar>
            <w:vAlign w:val="center"/>
          </w:tcPr>
          <w:p w14:paraId="35A19E82"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Evidence-based support prioritising early intervention</w:t>
            </w:r>
          </w:p>
        </w:tc>
        <w:tc>
          <w:tcPr>
            <w:tcW w:w="4728" w:type="dxa"/>
            <w:shd w:val="clear" w:color="auto" w:fill="F4F6F8"/>
            <w:tcMar>
              <w:top w:w="90" w:type="dxa"/>
              <w:left w:w="100" w:type="dxa"/>
              <w:bottom w:w="90" w:type="dxa"/>
              <w:right w:w="100" w:type="dxa"/>
            </w:tcMar>
            <w:vAlign w:val="center"/>
          </w:tcPr>
          <w:p w14:paraId="725ABE7B" w14:textId="6A19BD1F"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We respond early, assess carefully, and review whether support makes a difference.</w:t>
            </w:r>
          </w:p>
        </w:tc>
      </w:tr>
      <w:tr w:rsidR="00E70A53" w:rsidRPr="002E1CD2" w14:paraId="3CE644A2" w14:textId="77777777" w:rsidTr="08E1FDED">
        <w:trPr>
          <w:cantSplit/>
          <w:jc w:val="center"/>
        </w:trPr>
        <w:tc>
          <w:tcPr>
            <w:tcW w:w="870" w:type="dxa"/>
            <w:shd w:val="clear" w:color="auto" w:fill="2B7A78"/>
            <w:tcMar>
              <w:top w:w="90" w:type="dxa"/>
              <w:left w:w="100" w:type="dxa"/>
              <w:bottom w:w="90" w:type="dxa"/>
              <w:right w:w="100" w:type="dxa"/>
            </w:tcMar>
            <w:vAlign w:val="center"/>
          </w:tcPr>
          <w:p w14:paraId="5FCD5EC4" w14:textId="77777777" w:rsidR="00E70A53" w:rsidRPr="002E1CD2" w:rsidRDefault="08E1FDED" w:rsidP="08E1FDED">
            <w:pPr>
              <w:spacing w:after="0"/>
              <w:jc w:val="center"/>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3</w:t>
            </w:r>
          </w:p>
        </w:tc>
        <w:tc>
          <w:tcPr>
            <w:tcW w:w="4770" w:type="dxa"/>
            <w:tcMar>
              <w:top w:w="90" w:type="dxa"/>
              <w:left w:w="100" w:type="dxa"/>
              <w:bottom w:w="90" w:type="dxa"/>
              <w:right w:w="100" w:type="dxa"/>
            </w:tcMar>
            <w:vAlign w:val="center"/>
          </w:tcPr>
          <w:p w14:paraId="2C996DC5"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High-quality adaptive teaching with curriculum designed for all learners</w:t>
            </w:r>
          </w:p>
        </w:tc>
        <w:tc>
          <w:tcPr>
            <w:tcW w:w="4728" w:type="dxa"/>
            <w:tcMar>
              <w:top w:w="90" w:type="dxa"/>
              <w:left w:w="100" w:type="dxa"/>
              <w:bottom w:w="90" w:type="dxa"/>
              <w:right w:w="100" w:type="dxa"/>
            </w:tcMar>
            <w:vAlign w:val="center"/>
          </w:tcPr>
          <w:p w14:paraId="1598D05F"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Pupils access ambitious learning through responsive teaching and appropriate adaptations.</w:t>
            </w:r>
          </w:p>
        </w:tc>
      </w:tr>
      <w:tr w:rsidR="00E70A53" w:rsidRPr="002E1CD2" w14:paraId="27789EC9" w14:textId="77777777" w:rsidTr="08E1FDED">
        <w:trPr>
          <w:cantSplit/>
          <w:jc w:val="center"/>
        </w:trPr>
        <w:tc>
          <w:tcPr>
            <w:tcW w:w="870" w:type="dxa"/>
            <w:shd w:val="clear" w:color="auto" w:fill="2B7A78"/>
            <w:tcMar>
              <w:top w:w="90" w:type="dxa"/>
              <w:left w:w="100" w:type="dxa"/>
              <w:bottom w:w="90" w:type="dxa"/>
              <w:right w:w="100" w:type="dxa"/>
            </w:tcMar>
            <w:vAlign w:val="center"/>
          </w:tcPr>
          <w:p w14:paraId="2598DEE6" w14:textId="77777777" w:rsidR="00E70A53" w:rsidRPr="002E1CD2" w:rsidRDefault="08E1FDED" w:rsidP="08E1FDED">
            <w:pPr>
              <w:spacing w:after="0"/>
              <w:jc w:val="center"/>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4</w:t>
            </w:r>
          </w:p>
        </w:tc>
        <w:tc>
          <w:tcPr>
            <w:tcW w:w="4770" w:type="dxa"/>
            <w:shd w:val="clear" w:color="auto" w:fill="F4F6F8"/>
            <w:tcMar>
              <w:top w:w="90" w:type="dxa"/>
              <w:left w:w="100" w:type="dxa"/>
              <w:bottom w:w="90" w:type="dxa"/>
              <w:right w:w="100" w:type="dxa"/>
            </w:tcMar>
            <w:vAlign w:val="center"/>
          </w:tcPr>
          <w:p w14:paraId="1108E299"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Enriching provision beyond the classroom that all children can access</w:t>
            </w:r>
          </w:p>
        </w:tc>
        <w:tc>
          <w:tcPr>
            <w:tcW w:w="4728" w:type="dxa"/>
            <w:shd w:val="clear" w:color="auto" w:fill="F4F6F8"/>
            <w:tcMar>
              <w:top w:w="90" w:type="dxa"/>
              <w:left w:w="100" w:type="dxa"/>
              <w:bottom w:w="90" w:type="dxa"/>
              <w:right w:w="100" w:type="dxa"/>
            </w:tcMar>
            <w:vAlign w:val="center"/>
          </w:tcPr>
          <w:p w14:paraId="546FA259" w14:textId="343FFB6F"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Trips, clubs, leadership, and wider experiences are planned inclusively.</w:t>
            </w:r>
          </w:p>
        </w:tc>
      </w:tr>
      <w:tr w:rsidR="00E70A53" w:rsidRPr="002E1CD2" w14:paraId="6CC14B85" w14:textId="77777777" w:rsidTr="08E1FDED">
        <w:trPr>
          <w:cantSplit/>
          <w:jc w:val="center"/>
        </w:trPr>
        <w:tc>
          <w:tcPr>
            <w:tcW w:w="870" w:type="dxa"/>
            <w:shd w:val="clear" w:color="auto" w:fill="2B7A78"/>
            <w:tcMar>
              <w:top w:w="90" w:type="dxa"/>
              <w:left w:w="100" w:type="dxa"/>
              <w:bottom w:w="90" w:type="dxa"/>
              <w:right w:w="100" w:type="dxa"/>
            </w:tcMar>
            <w:vAlign w:val="center"/>
          </w:tcPr>
          <w:p w14:paraId="78941E47" w14:textId="77777777" w:rsidR="00E70A53" w:rsidRPr="002E1CD2" w:rsidRDefault="08E1FDED" w:rsidP="08E1FDED">
            <w:pPr>
              <w:spacing w:after="0"/>
              <w:jc w:val="center"/>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5</w:t>
            </w:r>
          </w:p>
        </w:tc>
        <w:tc>
          <w:tcPr>
            <w:tcW w:w="4770" w:type="dxa"/>
            <w:tcMar>
              <w:top w:w="90" w:type="dxa"/>
              <w:left w:w="100" w:type="dxa"/>
              <w:bottom w:w="90" w:type="dxa"/>
              <w:right w:w="100" w:type="dxa"/>
            </w:tcMar>
            <w:vAlign w:val="center"/>
          </w:tcPr>
          <w:p w14:paraId="33CD7DFF"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A safe and respectful culture fostering belonging, attendance and participation</w:t>
            </w:r>
          </w:p>
        </w:tc>
        <w:tc>
          <w:tcPr>
            <w:tcW w:w="4728" w:type="dxa"/>
            <w:tcMar>
              <w:top w:w="90" w:type="dxa"/>
              <w:left w:w="100" w:type="dxa"/>
              <w:bottom w:w="90" w:type="dxa"/>
              <w:right w:w="100" w:type="dxa"/>
            </w:tcMar>
            <w:vAlign w:val="center"/>
          </w:tcPr>
          <w:p w14:paraId="7CF48169" w14:textId="2D7244C0"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Predictable routines and strong relationships help pupils feel safe, included, and ready to learn.</w:t>
            </w:r>
          </w:p>
        </w:tc>
      </w:tr>
      <w:tr w:rsidR="00E70A53" w:rsidRPr="002E1CD2" w14:paraId="08693325" w14:textId="77777777" w:rsidTr="08E1FDED">
        <w:trPr>
          <w:cantSplit/>
          <w:jc w:val="center"/>
        </w:trPr>
        <w:tc>
          <w:tcPr>
            <w:tcW w:w="870" w:type="dxa"/>
            <w:shd w:val="clear" w:color="auto" w:fill="2B7A78"/>
            <w:tcMar>
              <w:top w:w="90" w:type="dxa"/>
              <w:left w:w="100" w:type="dxa"/>
              <w:bottom w:w="90" w:type="dxa"/>
              <w:right w:w="100" w:type="dxa"/>
            </w:tcMar>
            <w:vAlign w:val="center"/>
          </w:tcPr>
          <w:p w14:paraId="29B4EA11" w14:textId="77777777" w:rsidR="00E70A53" w:rsidRPr="002E1CD2" w:rsidRDefault="08E1FDED" w:rsidP="08E1FDED">
            <w:pPr>
              <w:spacing w:after="0"/>
              <w:jc w:val="center"/>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6</w:t>
            </w:r>
          </w:p>
        </w:tc>
        <w:tc>
          <w:tcPr>
            <w:tcW w:w="4770" w:type="dxa"/>
            <w:shd w:val="clear" w:color="auto" w:fill="F4F6F8"/>
            <w:tcMar>
              <w:top w:w="90" w:type="dxa"/>
              <w:left w:w="100" w:type="dxa"/>
              <w:bottom w:w="90" w:type="dxa"/>
              <w:right w:w="100" w:type="dxa"/>
            </w:tcMar>
            <w:vAlign w:val="center"/>
          </w:tcPr>
          <w:p w14:paraId="29F66334"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Strong partnerships with families and wider services</w:t>
            </w:r>
          </w:p>
        </w:tc>
        <w:tc>
          <w:tcPr>
            <w:tcW w:w="4728" w:type="dxa"/>
            <w:shd w:val="clear" w:color="auto" w:fill="F4F6F8"/>
            <w:tcMar>
              <w:top w:w="90" w:type="dxa"/>
              <w:left w:w="100" w:type="dxa"/>
              <w:bottom w:w="90" w:type="dxa"/>
              <w:right w:w="100" w:type="dxa"/>
            </w:tcMar>
            <w:vAlign w:val="center"/>
          </w:tcPr>
          <w:p w14:paraId="593357FB"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Families, school staff and professionals work together around the child.</w:t>
            </w:r>
          </w:p>
        </w:tc>
      </w:tr>
      <w:tr w:rsidR="00E70A53" w:rsidRPr="002E1CD2" w14:paraId="7D8EA9BE" w14:textId="77777777" w:rsidTr="08E1FDED">
        <w:trPr>
          <w:cantSplit/>
          <w:jc w:val="center"/>
        </w:trPr>
        <w:tc>
          <w:tcPr>
            <w:tcW w:w="870" w:type="dxa"/>
            <w:shd w:val="clear" w:color="auto" w:fill="2B7A78"/>
            <w:tcMar>
              <w:top w:w="90" w:type="dxa"/>
              <w:left w:w="100" w:type="dxa"/>
              <w:bottom w:w="90" w:type="dxa"/>
              <w:right w:w="100" w:type="dxa"/>
            </w:tcMar>
            <w:vAlign w:val="center"/>
          </w:tcPr>
          <w:p w14:paraId="75697EEC" w14:textId="77777777" w:rsidR="00E70A53" w:rsidRPr="002E1CD2" w:rsidRDefault="08E1FDED" w:rsidP="08E1FDED">
            <w:pPr>
              <w:spacing w:after="0"/>
              <w:jc w:val="center"/>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7</w:t>
            </w:r>
          </w:p>
        </w:tc>
        <w:tc>
          <w:tcPr>
            <w:tcW w:w="4770" w:type="dxa"/>
            <w:tcMar>
              <w:top w:w="90" w:type="dxa"/>
              <w:left w:w="100" w:type="dxa"/>
              <w:bottom w:w="90" w:type="dxa"/>
              <w:right w:w="100" w:type="dxa"/>
            </w:tcMar>
            <w:vAlign w:val="center"/>
          </w:tcPr>
          <w:p w14:paraId="3EEB20F1"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Inclusive environments with continuous improvements to accessibility</w:t>
            </w:r>
          </w:p>
        </w:tc>
        <w:tc>
          <w:tcPr>
            <w:tcW w:w="4728" w:type="dxa"/>
            <w:tcMar>
              <w:top w:w="90" w:type="dxa"/>
              <w:left w:w="100" w:type="dxa"/>
              <w:bottom w:w="90" w:type="dxa"/>
              <w:right w:w="100" w:type="dxa"/>
            </w:tcMar>
            <w:vAlign w:val="center"/>
          </w:tcPr>
          <w:p w14:paraId="5556DBD0" w14:textId="104DBA02"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We review physical, sensory, communication, and curriculum accessibility.</w:t>
            </w:r>
          </w:p>
        </w:tc>
      </w:tr>
    </w:tbl>
    <w:tbl>
      <w:tblPr>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0338"/>
      </w:tblGrid>
      <w:tr w:rsidR="00E70A53" w:rsidRPr="002E1CD2" w14:paraId="36BB3DE7" w14:textId="77777777" w:rsidTr="08E1FDED">
        <w:trPr>
          <w:jc w:val="center"/>
        </w:trPr>
        <w:tc>
          <w:tcPr>
            <w:tcW w:w="10368" w:type="dxa"/>
            <w:shd w:val="clear" w:color="auto" w:fill="FFF3D9"/>
            <w:tcMar>
              <w:top w:w="130" w:type="dxa"/>
              <w:left w:w="150" w:type="dxa"/>
              <w:bottom w:w="130" w:type="dxa"/>
              <w:right w:w="150" w:type="dxa"/>
            </w:tcMar>
          </w:tcPr>
          <w:p w14:paraId="7EC20D68" w14:textId="77777777" w:rsidR="00E70A53" w:rsidRPr="002E1CD2" w:rsidRDefault="08E1FDED" w:rsidP="08E1FDED">
            <w:pPr>
              <w:spacing w:after="60"/>
              <w:jc w:val="center"/>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Our guiding principle</w:t>
            </w:r>
          </w:p>
          <w:p w14:paraId="5E79D6CE" w14:textId="77777777" w:rsidR="00E70A53" w:rsidRPr="002E1CD2" w:rsidRDefault="08E1FDED" w:rsidP="00BC6B7E">
            <w:pPr>
              <w:spacing w:after="0"/>
              <w:jc w:val="center"/>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The right support, at the right time, while protecting every child’s access to high-quality classroom learning.</w:t>
            </w:r>
          </w:p>
        </w:tc>
      </w:tr>
    </w:tbl>
    <w:p w14:paraId="7692823C" w14:textId="1591359F" w:rsidR="00E70A53" w:rsidRPr="002E1CD2" w:rsidRDefault="08E1FDED" w:rsidP="00D44AD1">
      <w:pPr>
        <w:pStyle w:val="Heading1"/>
        <w:spacing w:after="0"/>
        <w:jc w:val="center"/>
        <w:rPr>
          <w:rFonts w:cstheme="majorHAnsi"/>
          <w:color w:val="auto"/>
          <w:sz w:val="20"/>
          <w:szCs w:val="20"/>
        </w:rPr>
      </w:pPr>
      <w:r w:rsidRPr="002E1CD2">
        <w:rPr>
          <w:rFonts w:cstheme="majorHAnsi"/>
          <w:color w:val="auto"/>
          <w:sz w:val="20"/>
          <w:szCs w:val="20"/>
        </w:rPr>
        <w:t>2. The Meridian graduated approach</w:t>
      </w:r>
    </w:p>
    <w:p w14:paraId="79F107E4" w14:textId="77777777" w:rsidR="00E70A53" w:rsidRPr="002E1CD2" w:rsidRDefault="08E1FDED" w:rsidP="08E1FDED">
      <w:pPr>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Children and young people can move up or down according to changing needs. Support is additional and responsive, but every learner remains included and connected to high-quality teaching.</w:t>
      </w:r>
    </w:p>
    <w:tbl>
      <w:tblPr>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0338"/>
      </w:tblGrid>
      <w:tr w:rsidR="00E70A53" w:rsidRPr="002E1CD2" w14:paraId="6AFB098C" w14:textId="77777777" w:rsidTr="003B7E09">
        <w:trPr>
          <w:trHeight w:val="669"/>
          <w:jc w:val="center"/>
        </w:trPr>
        <w:tc>
          <w:tcPr>
            <w:tcW w:w="10368" w:type="dxa"/>
            <w:shd w:val="clear" w:color="auto" w:fill="EAF4F4"/>
            <w:tcMar>
              <w:top w:w="130" w:type="dxa"/>
              <w:left w:w="150" w:type="dxa"/>
              <w:bottom w:w="130" w:type="dxa"/>
              <w:right w:w="150" w:type="dxa"/>
            </w:tcMar>
          </w:tcPr>
          <w:p w14:paraId="0D37968A" w14:textId="669820AF" w:rsidR="00E70A53" w:rsidRPr="002E1CD2" w:rsidRDefault="08E1FDED" w:rsidP="00472CB2">
            <w:pPr>
              <w:pStyle w:val="NoSpacing"/>
              <w:rPr>
                <w:rFonts w:asciiTheme="majorHAnsi" w:hAnsiTheme="majorHAnsi" w:cstheme="majorHAnsi"/>
                <w:b/>
                <w:bCs/>
                <w:sz w:val="20"/>
                <w:szCs w:val="20"/>
              </w:rPr>
            </w:pPr>
            <w:r w:rsidRPr="002E1CD2">
              <w:rPr>
                <w:rFonts w:asciiTheme="majorHAnsi" w:hAnsiTheme="majorHAnsi" w:cstheme="majorHAnsi"/>
                <w:b/>
                <w:bCs/>
                <w:sz w:val="20"/>
                <w:szCs w:val="20"/>
              </w:rPr>
              <w:t>Wave 1: Universal</w:t>
            </w:r>
          </w:p>
          <w:p w14:paraId="3C507896" w14:textId="77777777" w:rsidR="00E70A53" w:rsidRPr="002E1CD2" w:rsidRDefault="08E1FDED" w:rsidP="00472CB2">
            <w:pPr>
              <w:pStyle w:val="NoSpacing"/>
              <w:rPr>
                <w:rFonts w:asciiTheme="majorHAnsi" w:hAnsiTheme="majorHAnsi" w:cstheme="majorHAnsi"/>
                <w:sz w:val="20"/>
                <w:szCs w:val="20"/>
              </w:rPr>
            </w:pPr>
            <w:r w:rsidRPr="002E1CD2">
              <w:rPr>
                <w:rFonts w:asciiTheme="majorHAnsi" w:hAnsiTheme="majorHAnsi" w:cstheme="majorHAnsi"/>
                <w:sz w:val="20"/>
                <w:szCs w:val="20"/>
              </w:rPr>
              <w:t>The universal inclusive offer for every pupil: ambitious curriculum, high-quality adaptive teaching, predictable routines, relational practice, accessible environments and ordinary available inclusive practice.</w:t>
            </w:r>
          </w:p>
        </w:tc>
      </w:tr>
    </w:tbl>
    <w:p w14:paraId="6A05A809" w14:textId="77777777" w:rsidR="00E70A53" w:rsidRPr="002E1CD2" w:rsidRDefault="00E70A53" w:rsidP="00472CB2">
      <w:pPr>
        <w:pStyle w:val="NoSpacing"/>
        <w:rPr>
          <w:rFonts w:asciiTheme="majorHAnsi" w:hAnsiTheme="majorHAnsi" w:cstheme="majorHAnsi"/>
          <w:sz w:val="20"/>
          <w:szCs w:val="20"/>
        </w:rPr>
      </w:pPr>
    </w:p>
    <w:tbl>
      <w:tblPr>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0338"/>
      </w:tblGrid>
      <w:tr w:rsidR="00E70A53" w:rsidRPr="002E1CD2" w14:paraId="152432D5" w14:textId="77777777" w:rsidTr="08E1FDED">
        <w:trPr>
          <w:jc w:val="center"/>
        </w:trPr>
        <w:tc>
          <w:tcPr>
            <w:tcW w:w="10368" w:type="dxa"/>
            <w:shd w:val="clear" w:color="auto" w:fill="F4F6F8"/>
            <w:tcMar>
              <w:top w:w="130" w:type="dxa"/>
              <w:left w:w="150" w:type="dxa"/>
              <w:bottom w:w="130" w:type="dxa"/>
              <w:right w:w="150" w:type="dxa"/>
            </w:tcMar>
          </w:tcPr>
          <w:p w14:paraId="066DE8E6" w14:textId="77777777" w:rsidR="00E70A53" w:rsidRPr="002E1CD2" w:rsidRDefault="08E1FDED" w:rsidP="00472CB2">
            <w:pPr>
              <w:pStyle w:val="NoSpacing"/>
              <w:rPr>
                <w:rFonts w:asciiTheme="majorHAnsi" w:hAnsiTheme="majorHAnsi" w:cstheme="majorHAnsi"/>
                <w:b/>
                <w:bCs/>
                <w:sz w:val="20"/>
                <w:szCs w:val="20"/>
              </w:rPr>
            </w:pPr>
            <w:r w:rsidRPr="002E1CD2">
              <w:rPr>
                <w:rFonts w:asciiTheme="majorHAnsi" w:hAnsiTheme="majorHAnsi" w:cstheme="majorHAnsi"/>
                <w:b/>
                <w:bCs/>
                <w:sz w:val="20"/>
                <w:szCs w:val="20"/>
              </w:rPr>
              <w:t>Wave 2: Targeted</w:t>
            </w:r>
          </w:p>
          <w:p w14:paraId="4A4DC41C" w14:textId="7DEBE425" w:rsidR="00E70A53" w:rsidRPr="002E1CD2" w:rsidRDefault="08E1FDED" w:rsidP="00472CB2">
            <w:pPr>
              <w:pStyle w:val="NoSpacing"/>
              <w:rPr>
                <w:rFonts w:asciiTheme="majorHAnsi" w:hAnsiTheme="majorHAnsi" w:cstheme="majorHAnsi"/>
                <w:sz w:val="20"/>
                <w:szCs w:val="20"/>
              </w:rPr>
            </w:pPr>
            <w:r w:rsidRPr="002E1CD2">
              <w:rPr>
                <w:rFonts w:asciiTheme="majorHAnsi" w:hAnsiTheme="majorHAnsi" w:cstheme="majorHAnsi"/>
                <w:sz w:val="20"/>
                <w:szCs w:val="20"/>
              </w:rPr>
              <w:t xml:space="preserve">Regular, time-limited support in addition to Wave 1, often delivered through focused small-group or teacher/TA-led practice. </w:t>
            </w:r>
            <w:r w:rsidR="00D44AD1">
              <w:rPr>
                <w:rFonts w:asciiTheme="majorHAnsi" w:hAnsiTheme="majorHAnsi" w:cstheme="majorHAnsi"/>
                <w:sz w:val="20"/>
                <w:szCs w:val="20"/>
              </w:rPr>
              <w:t>Including</w:t>
            </w:r>
            <w:r w:rsidRPr="002E1CD2">
              <w:rPr>
                <w:rFonts w:asciiTheme="majorHAnsi" w:hAnsiTheme="majorHAnsi" w:cstheme="majorHAnsi"/>
                <w:sz w:val="20"/>
                <w:szCs w:val="20"/>
              </w:rPr>
              <w:t xml:space="preserve"> pre-teaching, post-teaching, speech and language work, phonics catch-up and fine-motor support.</w:t>
            </w:r>
          </w:p>
        </w:tc>
      </w:tr>
    </w:tbl>
    <w:p w14:paraId="5A39BBE3" w14:textId="77777777" w:rsidR="00E70A53" w:rsidRPr="002E1CD2" w:rsidRDefault="00E70A53" w:rsidP="00472CB2">
      <w:pPr>
        <w:pStyle w:val="NoSpacing"/>
        <w:rPr>
          <w:rFonts w:asciiTheme="majorHAnsi" w:hAnsiTheme="majorHAnsi" w:cstheme="majorHAnsi"/>
          <w:sz w:val="20"/>
          <w:szCs w:val="20"/>
        </w:rPr>
      </w:pPr>
    </w:p>
    <w:tbl>
      <w:tblPr>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0338"/>
      </w:tblGrid>
      <w:tr w:rsidR="00E70A53" w:rsidRPr="002E1CD2" w14:paraId="3F402210" w14:textId="77777777" w:rsidTr="08E1FDED">
        <w:trPr>
          <w:jc w:val="center"/>
        </w:trPr>
        <w:tc>
          <w:tcPr>
            <w:tcW w:w="10368" w:type="dxa"/>
            <w:shd w:val="clear" w:color="auto" w:fill="EAF4F4"/>
            <w:tcMar>
              <w:top w:w="130" w:type="dxa"/>
              <w:left w:w="150" w:type="dxa"/>
              <w:bottom w:w="130" w:type="dxa"/>
              <w:right w:w="150" w:type="dxa"/>
            </w:tcMar>
          </w:tcPr>
          <w:p w14:paraId="2EEB87B2" w14:textId="77777777" w:rsidR="00E70A53" w:rsidRPr="002E1CD2" w:rsidRDefault="08E1FDED" w:rsidP="00472CB2">
            <w:pPr>
              <w:pStyle w:val="NoSpacing"/>
              <w:rPr>
                <w:rFonts w:asciiTheme="majorHAnsi" w:hAnsiTheme="majorHAnsi" w:cstheme="majorHAnsi"/>
                <w:b/>
                <w:bCs/>
                <w:sz w:val="20"/>
                <w:szCs w:val="20"/>
              </w:rPr>
            </w:pPr>
            <w:r w:rsidRPr="002E1CD2">
              <w:rPr>
                <w:rFonts w:asciiTheme="majorHAnsi" w:hAnsiTheme="majorHAnsi" w:cstheme="majorHAnsi"/>
                <w:b/>
                <w:bCs/>
                <w:sz w:val="20"/>
                <w:szCs w:val="20"/>
              </w:rPr>
              <w:t>Wave 3: Targeted+</w:t>
            </w:r>
          </w:p>
          <w:p w14:paraId="0989A3C5" w14:textId="77784372" w:rsidR="00E70A53" w:rsidRPr="002E1CD2" w:rsidRDefault="08E1FDED" w:rsidP="00472CB2">
            <w:pPr>
              <w:pStyle w:val="NoSpacing"/>
              <w:rPr>
                <w:rFonts w:asciiTheme="majorHAnsi" w:hAnsiTheme="majorHAnsi" w:cstheme="majorHAnsi"/>
                <w:sz w:val="20"/>
                <w:szCs w:val="20"/>
              </w:rPr>
            </w:pPr>
            <w:r w:rsidRPr="002E1CD2">
              <w:rPr>
                <w:rFonts w:asciiTheme="majorHAnsi" w:hAnsiTheme="majorHAnsi" w:cstheme="majorHAnsi"/>
                <w:sz w:val="20"/>
                <w:szCs w:val="20"/>
              </w:rPr>
              <w:t xml:space="preserve">More </w:t>
            </w:r>
            <w:proofErr w:type="spellStart"/>
            <w:r w:rsidRPr="002E1CD2">
              <w:rPr>
                <w:rFonts w:asciiTheme="majorHAnsi" w:hAnsiTheme="majorHAnsi" w:cstheme="majorHAnsi"/>
                <w:sz w:val="20"/>
                <w:szCs w:val="20"/>
              </w:rPr>
              <w:t>individualised</w:t>
            </w:r>
            <w:proofErr w:type="spellEnd"/>
            <w:r w:rsidRPr="002E1CD2">
              <w:rPr>
                <w:rFonts w:asciiTheme="majorHAnsi" w:hAnsiTheme="majorHAnsi" w:cstheme="majorHAnsi"/>
                <w:sz w:val="20"/>
                <w:szCs w:val="20"/>
              </w:rPr>
              <w:t xml:space="preserve"> and specialist-informed provisions. This may include bespoke programmes, enhanced communication or sensory support, specialist advice, and structured use of a flexible learning space.</w:t>
            </w:r>
          </w:p>
        </w:tc>
      </w:tr>
    </w:tbl>
    <w:p w14:paraId="41C8F396" w14:textId="77777777" w:rsidR="00E70A53" w:rsidRPr="002E1CD2" w:rsidRDefault="00E70A53" w:rsidP="08E1FDED">
      <w:pPr>
        <w:spacing w:after="0"/>
        <w:rPr>
          <w:rFonts w:asciiTheme="majorHAnsi" w:eastAsiaTheme="majorEastAsia" w:hAnsiTheme="majorHAnsi" w:cstheme="majorHAnsi"/>
          <w:sz w:val="20"/>
          <w:szCs w:val="20"/>
        </w:rPr>
      </w:pPr>
    </w:p>
    <w:tbl>
      <w:tblPr>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0338"/>
      </w:tblGrid>
      <w:tr w:rsidR="00E70A53" w:rsidRPr="002E1CD2" w14:paraId="0CDCB0DD" w14:textId="77777777" w:rsidTr="08E1FDED">
        <w:trPr>
          <w:jc w:val="center"/>
        </w:trPr>
        <w:tc>
          <w:tcPr>
            <w:tcW w:w="10368" w:type="dxa"/>
            <w:shd w:val="clear" w:color="auto" w:fill="F4F6F8"/>
            <w:tcMar>
              <w:top w:w="130" w:type="dxa"/>
              <w:left w:w="150" w:type="dxa"/>
              <w:bottom w:w="130" w:type="dxa"/>
              <w:right w:w="150" w:type="dxa"/>
            </w:tcMar>
          </w:tcPr>
          <w:p w14:paraId="14B3FB18" w14:textId="77777777" w:rsidR="00E70A53" w:rsidRPr="002E1CD2" w:rsidRDefault="08E1FDED" w:rsidP="08E1FDED">
            <w:pPr>
              <w:spacing w:after="6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Wave 4: Specialist</w:t>
            </w:r>
          </w:p>
          <w:p w14:paraId="5C631E65"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Highly personalised or specialist provision for the highest level of need, while maintaining belonging, participation and appropriate connection to the school community.</w:t>
            </w:r>
          </w:p>
        </w:tc>
      </w:tr>
    </w:tbl>
    <w:p w14:paraId="72A3D3EC" w14:textId="77777777" w:rsidR="00E70A53" w:rsidRPr="002E1CD2" w:rsidRDefault="00E70A53" w:rsidP="08E1FDED">
      <w:pPr>
        <w:spacing w:after="0"/>
        <w:rPr>
          <w:rFonts w:asciiTheme="majorHAnsi" w:eastAsiaTheme="majorEastAsia" w:hAnsiTheme="majorHAnsi" w:cstheme="majorHAnsi"/>
          <w:sz w:val="20"/>
          <w:szCs w:val="20"/>
        </w:rPr>
      </w:pPr>
    </w:p>
    <w:p w14:paraId="2045A263" w14:textId="07EDA287" w:rsidR="00E70A53" w:rsidRPr="00D44AD1" w:rsidRDefault="08E1FDED" w:rsidP="00D44AD1">
      <w:pPr>
        <w:jc w:val="center"/>
        <w:rPr>
          <w:rFonts w:asciiTheme="majorHAnsi" w:eastAsiaTheme="majorEastAsia" w:hAnsiTheme="majorHAnsi" w:cstheme="majorHAnsi"/>
          <w:b/>
          <w:bCs/>
          <w:sz w:val="20"/>
          <w:szCs w:val="20"/>
        </w:rPr>
      </w:pPr>
      <w:r w:rsidRPr="00D44AD1">
        <w:rPr>
          <w:rFonts w:asciiTheme="majorHAnsi" w:eastAsiaTheme="majorEastAsia" w:hAnsiTheme="majorHAnsi" w:cstheme="majorHAnsi"/>
          <w:b/>
          <w:bCs/>
          <w:sz w:val="20"/>
          <w:szCs w:val="20"/>
        </w:rPr>
        <w:t>3. What pupils experience every day</w:t>
      </w:r>
    </w:p>
    <w:p w14:paraId="47F3FE04" w14:textId="77777777" w:rsidR="00E70A53" w:rsidRPr="002E1CD2" w:rsidRDefault="08E1FDED" w:rsidP="08E1FDED">
      <w:pPr>
        <w:pStyle w:val="Heading2"/>
        <w:rPr>
          <w:rFonts w:cstheme="majorHAnsi"/>
          <w:color w:val="auto"/>
          <w:sz w:val="20"/>
          <w:szCs w:val="20"/>
        </w:rPr>
      </w:pPr>
      <w:r w:rsidRPr="002E1CD2">
        <w:rPr>
          <w:rFonts w:cstheme="majorHAnsi"/>
          <w:color w:val="auto"/>
          <w:sz w:val="20"/>
          <w:szCs w:val="20"/>
        </w:rPr>
        <w:t>A calm, consistent learning culture</w:t>
      </w:r>
    </w:p>
    <w:p w14:paraId="5BB19913"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Warm relationships, clear expectations and consistent entry, learning and transition routines.</w:t>
      </w:r>
    </w:p>
    <w:p w14:paraId="5C2DD0FB"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Calm, uncluttered classrooms, visual timetables, consistent learning walls, breakout spaces and access to a sensory room where appropriate.</w:t>
      </w:r>
    </w:p>
    <w:p w14:paraId="5EF74CF2"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Adults who help new pupils understand routines, spaces, breaktimes and the people who can help them.</w:t>
      </w:r>
    </w:p>
    <w:p w14:paraId="00EC78D2"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A focus on learning behaviours such as listening, focusing, following instructions and participating, with the purpose of improving learning rather than securing compliance.</w:t>
      </w:r>
    </w:p>
    <w:p w14:paraId="3DA22CE0" w14:textId="77777777" w:rsidR="00E70A53" w:rsidRPr="002E1CD2" w:rsidRDefault="08E1FDED" w:rsidP="08E1FDED">
      <w:pPr>
        <w:pStyle w:val="Heading2"/>
        <w:rPr>
          <w:rFonts w:cstheme="majorHAnsi"/>
          <w:color w:val="auto"/>
          <w:sz w:val="20"/>
          <w:szCs w:val="20"/>
        </w:rPr>
      </w:pPr>
      <w:r w:rsidRPr="002E1CD2">
        <w:rPr>
          <w:rFonts w:cstheme="majorHAnsi"/>
          <w:color w:val="auto"/>
          <w:sz w:val="20"/>
          <w:szCs w:val="20"/>
        </w:rPr>
        <w:t>WalkThrus-informed adaptive teaching</w:t>
      </w:r>
    </w:p>
    <w:tbl>
      <w:tblPr>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169"/>
        <w:gridCol w:w="5169"/>
      </w:tblGrid>
      <w:tr w:rsidR="00E70A53" w:rsidRPr="002E1CD2" w14:paraId="014423B6" w14:textId="77777777" w:rsidTr="08E1FDED">
        <w:trPr>
          <w:jc w:val="center"/>
        </w:trPr>
        <w:tc>
          <w:tcPr>
            <w:tcW w:w="5184" w:type="dxa"/>
            <w:shd w:val="clear" w:color="auto" w:fill="2B7A78"/>
            <w:tcMar>
              <w:top w:w="90" w:type="dxa"/>
              <w:left w:w="100" w:type="dxa"/>
              <w:bottom w:w="90" w:type="dxa"/>
              <w:right w:w="100" w:type="dxa"/>
            </w:tcMar>
            <w:vAlign w:val="center"/>
          </w:tcPr>
          <w:p w14:paraId="46566F6B"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Teaching move</w:t>
            </w:r>
          </w:p>
        </w:tc>
        <w:tc>
          <w:tcPr>
            <w:tcW w:w="5184" w:type="dxa"/>
            <w:shd w:val="clear" w:color="auto" w:fill="2B7A78"/>
            <w:tcMar>
              <w:top w:w="90" w:type="dxa"/>
              <w:left w:w="100" w:type="dxa"/>
              <w:bottom w:w="90" w:type="dxa"/>
              <w:right w:w="100" w:type="dxa"/>
            </w:tcMar>
            <w:vAlign w:val="center"/>
          </w:tcPr>
          <w:p w14:paraId="4B71D15F"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Inclusive purpose</w:t>
            </w:r>
          </w:p>
        </w:tc>
      </w:tr>
      <w:tr w:rsidR="00E70A53" w:rsidRPr="002E1CD2" w14:paraId="1D50F4A3" w14:textId="77777777" w:rsidTr="08E1FDED">
        <w:trPr>
          <w:cantSplit/>
          <w:jc w:val="center"/>
        </w:trPr>
        <w:tc>
          <w:tcPr>
            <w:tcW w:w="5184" w:type="dxa"/>
            <w:tcMar>
              <w:top w:w="90" w:type="dxa"/>
              <w:left w:w="100" w:type="dxa"/>
              <w:bottom w:w="90" w:type="dxa"/>
              <w:right w:w="100" w:type="dxa"/>
            </w:tcMar>
            <w:vAlign w:val="center"/>
          </w:tcPr>
          <w:p w14:paraId="1118921C"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Review</w:t>
            </w:r>
          </w:p>
        </w:tc>
        <w:tc>
          <w:tcPr>
            <w:tcW w:w="5184" w:type="dxa"/>
            <w:tcMar>
              <w:top w:w="90" w:type="dxa"/>
              <w:left w:w="100" w:type="dxa"/>
              <w:bottom w:w="90" w:type="dxa"/>
              <w:right w:w="100" w:type="dxa"/>
            </w:tcMar>
            <w:vAlign w:val="center"/>
          </w:tcPr>
          <w:p w14:paraId="3ED0B10A"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Reconnect with prior learning and identify gaps or misconceptions.</w:t>
            </w:r>
          </w:p>
        </w:tc>
      </w:tr>
      <w:tr w:rsidR="00E70A53" w:rsidRPr="002E1CD2" w14:paraId="0A0B2A1E" w14:textId="77777777" w:rsidTr="08E1FDED">
        <w:trPr>
          <w:cantSplit/>
          <w:jc w:val="center"/>
        </w:trPr>
        <w:tc>
          <w:tcPr>
            <w:tcW w:w="5184" w:type="dxa"/>
            <w:tcMar>
              <w:top w:w="90" w:type="dxa"/>
              <w:left w:w="100" w:type="dxa"/>
              <w:bottom w:w="90" w:type="dxa"/>
              <w:right w:w="100" w:type="dxa"/>
            </w:tcMar>
            <w:vAlign w:val="center"/>
          </w:tcPr>
          <w:p w14:paraId="20154D2F"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Explain and model</w:t>
            </w:r>
          </w:p>
        </w:tc>
        <w:tc>
          <w:tcPr>
            <w:tcW w:w="5184" w:type="dxa"/>
            <w:tcMar>
              <w:top w:w="90" w:type="dxa"/>
              <w:left w:w="100" w:type="dxa"/>
              <w:bottom w:w="90" w:type="dxa"/>
              <w:right w:w="100" w:type="dxa"/>
            </w:tcMar>
            <w:vAlign w:val="center"/>
          </w:tcPr>
          <w:p w14:paraId="45B6BEBE"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Use clear explanation and I do, we do, you do modelling.</w:t>
            </w:r>
          </w:p>
        </w:tc>
      </w:tr>
      <w:tr w:rsidR="00E70A53" w:rsidRPr="002E1CD2" w14:paraId="047E2A1E" w14:textId="77777777" w:rsidTr="08E1FDED">
        <w:trPr>
          <w:cantSplit/>
          <w:jc w:val="center"/>
        </w:trPr>
        <w:tc>
          <w:tcPr>
            <w:tcW w:w="5184" w:type="dxa"/>
            <w:tcMar>
              <w:top w:w="90" w:type="dxa"/>
              <w:left w:w="100" w:type="dxa"/>
              <w:bottom w:w="90" w:type="dxa"/>
              <w:right w:w="100" w:type="dxa"/>
            </w:tcMar>
            <w:vAlign w:val="center"/>
          </w:tcPr>
          <w:p w14:paraId="731E85C9"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Check understanding</w:t>
            </w:r>
          </w:p>
        </w:tc>
        <w:tc>
          <w:tcPr>
            <w:tcW w:w="5184" w:type="dxa"/>
            <w:tcMar>
              <w:top w:w="90" w:type="dxa"/>
              <w:left w:w="100" w:type="dxa"/>
              <w:bottom w:w="90" w:type="dxa"/>
              <w:right w:w="100" w:type="dxa"/>
            </w:tcMar>
            <w:vAlign w:val="center"/>
          </w:tcPr>
          <w:p w14:paraId="4BEAD9EB"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Use questioning, mini-whiteboards, short tasks and feedback before moving on.</w:t>
            </w:r>
          </w:p>
        </w:tc>
      </w:tr>
      <w:tr w:rsidR="00E70A53" w:rsidRPr="002E1CD2" w14:paraId="02035E3B" w14:textId="77777777" w:rsidTr="08E1FDED">
        <w:trPr>
          <w:cantSplit/>
          <w:jc w:val="center"/>
        </w:trPr>
        <w:tc>
          <w:tcPr>
            <w:tcW w:w="5184" w:type="dxa"/>
            <w:tcMar>
              <w:top w:w="90" w:type="dxa"/>
              <w:left w:w="100" w:type="dxa"/>
              <w:bottom w:w="90" w:type="dxa"/>
              <w:right w:w="100" w:type="dxa"/>
            </w:tcMar>
            <w:vAlign w:val="center"/>
          </w:tcPr>
          <w:p w14:paraId="7EA2D5E1"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Support access</w:t>
            </w:r>
          </w:p>
        </w:tc>
        <w:tc>
          <w:tcPr>
            <w:tcW w:w="5184" w:type="dxa"/>
            <w:tcMar>
              <w:top w:w="90" w:type="dxa"/>
              <w:left w:w="100" w:type="dxa"/>
              <w:bottom w:w="90" w:type="dxa"/>
              <w:right w:w="100" w:type="dxa"/>
            </w:tcMar>
            <w:vAlign w:val="center"/>
          </w:tcPr>
          <w:p w14:paraId="2CBF4CA3"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Use scaffolds, flexible grouping, practical representations, adjusted pace and targeted prompts.</w:t>
            </w:r>
          </w:p>
        </w:tc>
      </w:tr>
      <w:tr w:rsidR="00E70A53" w:rsidRPr="002E1CD2" w14:paraId="5CDBC8E2" w14:textId="77777777" w:rsidTr="08E1FDED">
        <w:trPr>
          <w:cantSplit/>
          <w:jc w:val="center"/>
        </w:trPr>
        <w:tc>
          <w:tcPr>
            <w:tcW w:w="5184" w:type="dxa"/>
            <w:tcMar>
              <w:top w:w="90" w:type="dxa"/>
              <w:left w:w="100" w:type="dxa"/>
              <w:bottom w:w="90" w:type="dxa"/>
              <w:right w:w="100" w:type="dxa"/>
            </w:tcMar>
            <w:vAlign w:val="center"/>
          </w:tcPr>
          <w:p w14:paraId="531B80DF"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Build independence</w:t>
            </w:r>
          </w:p>
        </w:tc>
        <w:tc>
          <w:tcPr>
            <w:tcW w:w="5184" w:type="dxa"/>
            <w:tcMar>
              <w:top w:w="90" w:type="dxa"/>
              <w:left w:w="100" w:type="dxa"/>
              <w:bottom w:w="90" w:type="dxa"/>
              <w:right w:w="100" w:type="dxa"/>
            </w:tcMar>
            <w:vAlign w:val="center"/>
          </w:tcPr>
          <w:p w14:paraId="46974192"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Provide successful independent practice and gradually remove scaffolds.</w:t>
            </w:r>
          </w:p>
        </w:tc>
      </w:tr>
    </w:tbl>
    <w:p w14:paraId="5EF822FD" w14:textId="77777777" w:rsidR="00E70A53" w:rsidRPr="002E1CD2" w:rsidRDefault="08E1FDED" w:rsidP="08E1FDED">
      <w:pPr>
        <w:pStyle w:val="Heading2"/>
        <w:rPr>
          <w:rFonts w:cstheme="majorHAnsi"/>
          <w:color w:val="auto"/>
          <w:sz w:val="20"/>
          <w:szCs w:val="20"/>
        </w:rPr>
      </w:pPr>
      <w:r w:rsidRPr="002E1CD2">
        <w:rPr>
          <w:rFonts w:cstheme="majorHAnsi"/>
          <w:color w:val="auto"/>
          <w:sz w:val="20"/>
          <w:szCs w:val="20"/>
        </w:rPr>
        <w:t>Communication and accessibility</w:t>
      </w:r>
    </w:p>
    <w:p w14:paraId="185DE246"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Widgit visuals, visual timetables, now-next-then boards, communication boards and visual prompts.</w:t>
      </w:r>
    </w:p>
    <w:p w14:paraId="1F5E5A07"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Clear language, processing time, vocabulary support and repeated opportunities to practise key words.</w:t>
      </w:r>
    </w:p>
    <w:p w14:paraId="1D736A29"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Makaton, AAC and individual communication supports where required.</w:t>
      </w:r>
    </w:p>
    <w:p w14:paraId="3C4C46BF"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Worked examples, sentence stems, manipulatives, adapted resources and alternative ways to record learning.</w:t>
      </w:r>
    </w:p>
    <w:p w14:paraId="59C06D94"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Sensory and environmental adjustments recorded in the pupil’s Learning Plan and available in practice.</w:t>
      </w:r>
    </w:p>
    <w:p w14:paraId="647F7CEC" w14:textId="77777777" w:rsidR="00E70A53" w:rsidRPr="002E1CD2" w:rsidRDefault="08E1FDED" w:rsidP="00D44AD1">
      <w:pPr>
        <w:pStyle w:val="Heading1"/>
        <w:jc w:val="center"/>
        <w:rPr>
          <w:rFonts w:cstheme="majorHAnsi"/>
          <w:color w:val="auto"/>
          <w:sz w:val="20"/>
          <w:szCs w:val="20"/>
        </w:rPr>
      </w:pPr>
      <w:r w:rsidRPr="002E1CD2">
        <w:rPr>
          <w:rFonts w:cstheme="majorHAnsi"/>
          <w:color w:val="auto"/>
          <w:sz w:val="20"/>
          <w:szCs w:val="20"/>
        </w:rPr>
        <w:t xml:space="preserve">4. Learning Plans and the </w:t>
      </w:r>
      <w:proofErr w:type="gramStart"/>
      <w:r w:rsidRPr="002E1CD2">
        <w:rPr>
          <w:rFonts w:cstheme="majorHAnsi"/>
          <w:color w:val="auto"/>
          <w:sz w:val="20"/>
          <w:szCs w:val="20"/>
        </w:rPr>
        <w:t>graduated</w:t>
      </w:r>
      <w:proofErr w:type="gramEnd"/>
      <w:r w:rsidRPr="002E1CD2">
        <w:rPr>
          <w:rFonts w:cstheme="majorHAnsi"/>
          <w:color w:val="auto"/>
          <w:sz w:val="20"/>
          <w:szCs w:val="20"/>
        </w:rPr>
        <w:t xml:space="preserve"> response</w:t>
      </w:r>
    </w:p>
    <w:p w14:paraId="2DC17B4F" w14:textId="77777777" w:rsidR="00E70A53" w:rsidRPr="002E1CD2" w:rsidRDefault="08E1FDED" w:rsidP="08E1FDED">
      <w:pPr>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When a pupil needs support beyond the universal offer, we use a continuous Assess, Plan, Do, Review cycle. The Learning Plan records additional strategies, resources and SMART outcomes. Personal Learning Goals support pupils with EHCPs.</w:t>
      </w:r>
    </w:p>
    <w:tbl>
      <w:tblPr>
        <w:tblW w:w="0" w:type="auto"/>
        <w:jc w:val="center"/>
        <w:tblLook w:val="04A0" w:firstRow="1" w:lastRow="0" w:firstColumn="1" w:lastColumn="0" w:noHBand="0" w:noVBand="1"/>
      </w:tblPr>
      <w:tblGrid>
        <w:gridCol w:w="2580"/>
        <w:gridCol w:w="2580"/>
        <w:gridCol w:w="2580"/>
        <w:gridCol w:w="2578"/>
        <w:gridCol w:w="50"/>
      </w:tblGrid>
      <w:tr w:rsidR="00E70A53" w:rsidRPr="002E1CD2" w14:paraId="7706ED89" w14:textId="77777777" w:rsidTr="08E1FDED">
        <w:trPr>
          <w:jc w:val="center"/>
        </w:trPr>
        <w:tc>
          <w:tcPr>
            <w:tcW w:w="2592" w:type="dxa"/>
            <w:shd w:val="clear" w:color="auto" w:fill="17365D" w:themeFill="text2" w:themeFillShade="BF"/>
            <w:tcMar>
              <w:top w:w="120" w:type="dxa"/>
              <w:left w:w="100" w:type="dxa"/>
              <w:bottom w:w="120" w:type="dxa"/>
              <w:right w:w="100" w:type="dxa"/>
            </w:tcMar>
          </w:tcPr>
          <w:p w14:paraId="4AB80015" w14:textId="77777777" w:rsidR="00E70A53" w:rsidRPr="002E1CD2" w:rsidRDefault="08E1FDED" w:rsidP="08E1FDED">
            <w:pPr>
              <w:jc w:val="center"/>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ASSESS</w:t>
            </w:r>
          </w:p>
          <w:p w14:paraId="3DD22C47" w14:textId="77777777" w:rsidR="00E70A53" w:rsidRPr="002E1CD2" w:rsidRDefault="08E1FDED" w:rsidP="08E1FDED">
            <w:pPr>
              <w:spacing w:after="0"/>
              <w:jc w:val="center"/>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Understand strengths, needs, starting points, pupil voice and family views.</w:t>
            </w:r>
          </w:p>
        </w:tc>
        <w:tc>
          <w:tcPr>
            <w:tcW w:w="2592" w:type="dxa"/>
            <w:shd w:val="clear" w:color="auto" w:fill="2B7A78"/>
            <w:tcMar>
              <w:top w:w="120" w:type="dxa"/>
              <w:left w:w="100" w:type="dxa"/>
              <w:bottom w:w="120" w:type="dxa"/>
              <w:right w:w="100" w:type="dxa"/>
            </w:tcMar>
          </w:tcPr>
          <w:p w14:paraId="79F29F3D" w14:textId="77777777" w:rsidR="00E70A53" w:rsidRPr="002E1CD2" w:rsidRDefault="08E1FDED" w:rsidP="08E1FDED">
            <w:pPr>
              <w:jc w:val="center"/>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PLAN</w:t>
            </w:r>
          </w:p>
          <w:p w14:paraId="58974AF3" w14:textId="77777777" w:rsidR="00E70A53" w:rsidRPr="002E1CD2" w:rsidRDefault="08E1FDED" w:rsidP="08E1FDED">
            <w:pPr>
              <w:spacing w:after="0"/>
              <w:jc w:val="center"/>
              <w:rPr>
                <w:rFonts w:asciiTheme="majorHAnsi" w:eastAsiaTheme="majorEastAsia" w:hAnsiTheme="majorHAnsi" w:cstheme="majorHAnsi"/>
                <w:sz w:val="20"/>
                <w:szCs w:val="20"/>
              </w:rPr>
            </w:pPr>
            <w:proofErr w:type="gramStart"/>
            <w:r w:rsidRPr="002E1CD2">
              <w:rPr>
                <w:rFonts w:asciiTheme="majorHAnsi" w:eastAsiaTheme="majorEastAsia" w:hAnsiTheme="majorHAnsi" w:cstheme="majorHAnsi"/>
                <w:sz w:val="20"/>
                <w:szCs w:val="20"/>
              </w:rPr>
              <w:t>Agree</w:t>
            </w:r>
            <w:proofErr w:type="gramEnd"/>
            <w:r w:rsidRPr="002E1CD2">
              <w:rPr>
                <w:rFonts w:asciiTheme="majorHAnsi" w:eastAsiaTheme="majorEastAsia" w:hAnsiTheme="majorHAnsi" w:cstheme="majorHAnsi"/>
                <w:sz w:val="20"/>
                <w:szCs w:val="20"/>
              </w:rPr>
              <w:t xml:space="preserve"> measurable outcomes, provision, responsible adults and review dates.</w:t>
            </w:r>
          </w:p>
        </w:tc>
        <w:tc>
          <w:tcPr>
            <w:tcW w:w="2592" w:type="dxa"/>
            <w:shd w:val="clear" w:color="auto" w:fill="4F7C82"/>
            <w:tcMar>
              <w:top w:w="120" w:type="dxa"/>
              <w:left w:w="100" w:type="dxa"/>
              <w:bottom w:w="120" w:type="dxa"/>
              <w:right w:w="100" w:type="dxa"/>
            </w:tcMar>
          </w:tcPr>
          <w:p w14:paraId="1131FFFF" w14:textId="77777777" w:rsidR="00E70A53" w:rsidRPr="002E1CD2" w:rsidRDefault="08E1FDED" w:rsidP="08E1FDED">
            <w:pPr>
              <w:jc w:val="center"/>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DO</w:t>
            </w:r>
          </w:p>
          <w:p w14:paraId="0E88B283" w14:textId="77777777" w:rsidR="00E70A53" w:rsidRPr="002E1CD2" w:rsidRDefault="08E1FDED" w:rsidP="08E1FDED">
            <w:pPr>
              <w:spacing w:after="0"/>
              <w:jc w:val="center"/>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Deliver support consistently. Teachers remain responsible for teaching, learning and assessment.</w:t>
            </w:r>
          </w:p>
        </w:tc>
        <w:tc>
          <w:tcPr>
            <w:tcW w:w="2592" w:type="dxa"/>
            <w:gridSpan w:val="2"/>
            <w:shd w:val="clear" w:color="auto" w:fill="D6A84B"/>
            <w:tcMar>
              <w:top w:w="120" w:type="dxa"/>
              <w:left w:w="100" w:type="dxa"/>
              <w:bottom w:w="120" w:type="dxa"/>
              <w:right w:w="100" w:type="dxa"/>
            </w:tcMar>
          </w:tcPr>
          <w:p w14:paraId="42685895" w14:textId="77777777" w:rsidR="00E70A53" w:rsidRPr="002E1CD2" w:rsidRDefault="08E1FDED" w:rsidP="08E1FDED">
            <w:pPr>
              <w:jc w:val="center"/>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REVIEW</w:t>
            </w:r>
          </w:p>
          <w:p w14:paraId="5447BCCD" w14:textId="77777777" w:rsidR="00E70A53" w:rsidRPr="002E1CD2" w:rsidRDefault="08E1FDED" w:rsidP="08E1FDED">
            <w:pPr>
              <w:spacing w:after="0"/>
              <w:jc w:val="center"/>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Evaluate impact and decide what will continue, change, stop or be escalated.</w:t>
            </w:r>
          </w:p>
        </w:tc>
      </w:tr>
      <w:tr w:rsidR="00E70A53" w:rsidRPr="002E1CD2" w14:paraId="432F00CD" w14:textId="77777777" w:rsidTr="08E1FDED">
        <w:trPr>
          <w:gridAfter w:val="1"/>
          <w:wAfter w:w="50" w:type="dxa"/>
          <w:jc w:val="center"/>
        </w:trPr>
        <w:tc>
          <w:tcPr>
            <w:tcW w:w="10368" w:type="dxa"/>
            <w:gridSpan w:val="4"/>
            <w:shd w:val="clear" w:color="auto" w:fill="FFF3D9"/>
            <w:tcMar>
              <w:top w:w="130" w:type="dxa"/>
              <w:left w:w="150" w:type="dxa"/>
              <w:bottom w:w="130" w:type="dxa"/>
              <w:right w:w="150" w:type="dxa"/>
            </w:tcMar>
          </w:tcPr>
          <w:p w14:paraId="1D0818A3" w14:textId="77777777" w:rsidR="00E70A53" w:rsidRPr="002E1CD2" w:rsidRDefault="08E1FDED" w:rsidP="08E1FDED">
            <w:pPr>
              <w:spacing w:after="6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What visitors should see</w:t>
            </w:r>
          </w:p>
          <w:p w14:paraId="7C02616B" w14:textId="3BB2D1C3"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 xml:space="preserve">Strategies written in a Learning Plan </w:t>
            </w:r>
            <w:r w:rsidR="00D905CE">
              <w:rPr>
                <w:rFonts w:asciiTheme="majorHAnsi" w:eastAsiaTheme="majorEastAsia" w:hAnsiTheme="majorHAnsi" w:cstheme="majorHAnsi"/>
                <w:sz w:val="20"/>
                <w:szCs w:val="20"/>
              </w:rPr>
              <w:t>are</w:t>
            </w:r>
            <w:r w:rsidRPr="002E1CD2">
              <w:rPr>
                <w:rFonts w:asciiTheme="majorHAnsi" w:eastAsiaTheme="majorEastAsia" w:hAnsiTheme="majorHAnsi" w:cstheme="majorHAnsi"/>
                <w:sz w:val="20"/>
                <w:szCs w:val="20"/>
              </w:rPr>
              <w:t xml:space="preserve"> evident in the classroom, in resources, in adult practice and in the pupil’s experience. Recommendations from relevant professionals are incorporated and reviewed.</w:t>
            </w:r>
          </w:p>
        </w:tc>
      </w:tr>
    </w:tbl>
    <w:p w14:paraId="0E27B00A" w14:textId="77777777" w:rsidR="00E70A53" w:rsidRPr="002E1CD2" w:rsidRDefault="00E70A53" w:rsidP="08E1FDED">
      <w:pPr>
        <w:spacing w:after="0"/>
        <w:rPr>
          <w:rFonts w:asciiTheme="majorHAnsi" w:eastAsiaTheme="majorEastAsia" w:hAnsiTheme="majorHAnsi" w:cstheme="majorHAnsi"/>
          <w:sz w:val="20"/>
          <w:szCs w:val="20"/>
        </w:rPr>
      </w:pPr>
    </w:p>
    <w:p w14:paraId="0FA8C580" w14:textId="0DAAF900" w:rsidR="08E1FDED" w:rsidRPr="002E1CD2" w:rsidRDefault="08E1FDED" w:rsidP="08E1FDED">
      <w:pPr>
        <w:spacing w:after="0"/>
        <w:rPr>
          <w:rFonts w:asciiTheme="majorHAnsi" w:eastAsiaTheme="majorEastAsia" w:hAnsiTheme="majorHAnsi" w:cstheme="majorHAnsi"/>
          <w:sz w:val="20"/>
          <w:szCs w:val="20"/>
        </w:rPr>
      </w:pPr>
    </w:p>
    <w:p w14:paraId="0D0A7E9D" w14:textId="488CC779" w:rsidR="08E1FDED" w:rsidRPr="002E1CD2" w:rsidRDefault="08E1FDED" w:rsidP="08E1FDED">
      <w:pPr>
        <w:spacing w:after="0"/>
        <w:rPr>
          <w:rFonts w:asciiTheme="majorHAnsi" w:eastAsiaTheme="majorEastAsia" w:hAnsiTheme="majorHAnsi" w:cstheme="majorHAnsi"/>
          <w:sz w:val="20"/>
          <w:szCs w:val="20"/>
        </w:rPr>
      </w:pPr>
    </w:p>
    <w:p w14:paraId="0D976339" w14:textId="19677616" w:rsidR="08E1FDED" w:rsidRPr="002E1CD2" w:rsidRDefault="08E1FDED" w:rsidP="08E1FDED">
      <w:pPr>
        <w:spacing w:after="0"/>
        <w:rPr>
          <w:rFonts w:asciiTheme="majorHAnsi" w:eastAsiaTheme="majorEastAsia" w:hAnsiTheme="majorHAnsi" w:cstheme="majorHAnsi"/>
          <w:sz w:val="20"/>
          <w:szCs w:val="20"/>
        </w:rPr>
      </w:pPr>
    </w:p>
    <w:p w14:paraId="460E0821" w14:textId="72FC2E01" w:rsidR="08E1FDED" w:rsidRPr="002E1CD2" w:rsidRDefault="08E1FDED" w:rsidP="08E1FDED">
      <w:pPr>
        <w:spacing w:after="0"/>
        <w:rPr>
          <w:rFonts w:asciiTheme="majorHAnsi" w:eastAsiaTheme="majorEastAsia" w:hAnsiTheme="majorHAnsi" w:cstheme="majorHAnsi"/>
          <w:sz w:val="20"/>
          <w:szCs w:val="20"/>
        </w:rPr>
      </w:pPr>
    </w:p>
    <w:p w14:paraId="62270FD2" w14:textId="77777777" w:rsidR="00E70A53" w:rsidRPr="002E1CD2" w:rsidRDefault="08E1FDED" w:rsidP="00D44AD1">
      <w:pPr>
        <w:pStyle w:val="Heading1"/>
        <w:jc w:val="center"/>
        <w:rPr>
          <w:rFonts w:cstheme="majorHAnsi"/>
          <w:color w:val="auto"/>
          <w:sz w:val="20"/>
          <w:szCs w:val="20"/>
        </w:rPr>
      </w:pPr>
      <w:r w:rsidRPr="002E1CD2">
        <w:rPr>
          <w:rFonts w:cstheme="majorHAnsi"/>
          <w:color w:val="auto"/>
          <w:sz w:val="20"/>
          <w:szCs w:val="20"/>
        </w:rPr>
        <w:lastRenderedPageBreak/>
        <w:t>5. Pre-teaching, adaptive teaching and post-teaching</w:t>
      </w:r>
    </w:p>
    <w:p w14:paraId="7D097F88" w14:textId="02B6330B" w:rsidR="00E70A53" w:rsidRPr="002E1CD2" w:rsidRDefault="08E1FDED" w:rsidP="08E1FDED">
      <w:pPr>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 xml:space="preserve">Our targeted support stays closely connected to classroom learning. </w:t>
      </w:r>
      <w:r w:rsidR="00327983">
        <w:rPr>
          <w:rFonts w:asciiTheme="majorHAnsi" w:eastAsiaTheme="majorEastAsia" w:hAnsiTheme="majorHAnsi" w:cstheme="majorHAnsi"/>
          <w:sz w:val="20"/>
          <w:szCs w:val="20"/>
        </w:rPr>
        <w:t>I</w:t>
      </w:r>
      <w:r w:rsidRPr="002E1CD2">
        <w:rPr>
          <w:rFonts w:asciiTheme="majorHAnsi" w:eastAsiaTheme="majorEastAsia" w:hAnsiTheme="majorHAnsi" w:cstheme="majorHAnsi"/>
          <w:sz w:val="20"/>
          <w:szCs w:val="20"/>
        </w:rPr>
        <w:t>ntervention</w:t>
      </w:r>
      <w:r w:rsidR="00327983">
        <w:rPr>
          <w:rFonts w:asciiTheme="majorHAnsi" w:eastAsiaTheme="majorEastAsia" w:hAnsiTheme="majorHAnsi" w:cstheme="majorHAnsi"/>
          <w:sz w:val="20"/>
          <w:szCs w:val="20"/>
        </w:rPr>
        <w:t>s</w:t>
      </w:r>
      <w:r w:rsidR="00D905CE">
        <w:rPr>
          <w:rFonts w:asciiTheme="majorHAnsi" w:eastAsiaTheme="majorEastAsia" w:hAnsiTheme="majorHAnsi" w:cstheme="majorHAnsi"/>
          <w:sz w:val="20"/>
          <w:szCs w:val="20"/>
        </w:rPr>
        <w:t xml:space="preserve"> are carefully selected and planned</w:t>
      </w:r>
      <w:r w:rsidRPr="002E1CD2">
        <w:rPr>
          <w:rFonts w:asciiTheme="majorHAnsi" w:eastAsiaTheme="majorEastAsia" w:hAnsiTheme="majorHAnsi" w:cstheme="majorHAnsi"/>
          <w:sz w:val="20"/>
          <w:szCs w:val="20"/>
        </w:rPr>
        <w:t>, and wherever possible pupils remain in their lessons.</w:t>
      </w:r>
    </w:p>
    <w:tbl>
      <w:tblPr>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3446"/>
        <w:gridCol w:w="3447"/>
        <w:gridCol w:w="3445"/>
      </w:tblGrid>
      <w:tr w:rsidR="00E70A53" w:rsidRPr="002E1CD2" w14:paraId="0DCF4A27" w14:textId="77777777" w:rsidTr="08E1FDED">
        <w:trPr>
          <w:jc w:val="center"/>
        </w:trPr>
        <w:tc>
          <w:tcPr>
            <w:tcW w:w="3456" w:type="dxa"/>
            <w:shd w:val="clear" w:color="auto" w:fill="17365D"/>
            <w:tcMar>
              <w:top w:w="90" w:type="dxa"/>
              <w:left w:w="100" w:type="dxa"/>
              <w:bottom w:w="90" w:type="dxa"/>
              <w:right w:w="100" w:type="dxa"/>
            </w:tcMar>
            <w:vAlign w:val="center"/>
          </w:tcPr>
          <w:p w14:paraId="0458CA91" w14:textId="77777777" w:rsidR="00E70A53" w:rsidRPr="002E1CD2" w:rsidRDefault="08E1FDED" w:rsidP="08E1FDED">
            <w:pPr>
              <w:spacing w:after="0"/>
              <w:jc w:val="center"/>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Before learning</w:t>
            </w:r>
          </w:p>
        </w:tc>
        <w:tc>
          <w:tcPr>
            <w:tcW w:w="3456" w:type="dxa"/>
            <w:shd w:val="clear" w:color="auto" w:fill="2B7A78"/>
            <w:tcMar>
              <w:top w:w="90" w:type="dxa"/>
              <w:left w:w="100" w:type="dxa"/>
              <w:bottom w:w="90" w:type="dxa"/>
              <w:right w:w="100" w:type="dxa"/>
            </w:tcMar>
            <w:vAlign w:val="center"/>
          </w:tcPr>
          <w:p w14:paraId="7B23CA80" w14:textId="77777777" w:rsidR="00E70A53" w:rsidRPr="002E1CD2" w:rsidRDefault="08E1FDED" w:rsidP="08E1FDED">
            <w:pPr>
              <w:spacing w:after="0"/>
              <w:jc w:val="center"/>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During learning</w:t>
            </w:r>
          </w:p>
        </w:tc>
        <w:tc>
          <w:tcPr>
            <w:tcW w:w="3456" w:type="dxa"/>
            <w:shd w:val="clear" w:color="auto" w:fill="D6A84B"/>
            <w:tcMar>
              <w:top w:w="90" w:type="dxa"/>
              <w:left w:w="100" w:type="dxa"/>
              <w:bottom w:w="90" w:type="dxa"/>
              <w:right w:w="100" w:type="dxa"/>
            </w:tcMar>
            <w:vAlign w:val="center"/>
          </w:tcPr>
          <w:p w14:paraId="7FCA5DDF" w14:textId="77777777" w:rsidR="00E70A53" w:rsidRPr="002E1CD2" w:rsidRDefault="08E1FDED" w:rsidP="08E1FDED">
            <w:pPr>
              <w:spacing w:after="0"/>
              <w:jc w:val="center"/>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After learning</w:t>
            </w:r>
          </w:p>
        </w:tc>
      </w:tr>
      <w:tr w:rsidR="00E70A53" w:rsidRPr="002E1CD2" w14:paraId="659051FA" w14:textId="77777777" w:rsidTr="08E1FDED">
        <w:trPr>
          <w:jc w:val="center"/>
        </w:trPr>
        <w:tc>
          <w:tcPr>
            <w:tcW w:w="3456" w:type="dxa"/>
            <w:tcMar>
              <w:top w:w="130" w:type="dxa"/>
              <w:left w:w="110" w:type="dxa"/>
              <w:bottom w:w="130" w:type="dxa"/>
              <w:right w:w="110" w:type="dxa"/>
            </w:tcMar>
          </w:tcPr>
          <w:p w14:paraId="1ECBCBDE" w14:textId="77777777" w:rsidR="00E70A53" w:rsidRPr="002E1CD2" w:rsidRDefault="08E1FDED" w:rsidP="08E1FDED">
            <w:pPr>
              <w:jc w:val="center"/>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PRE-TEACH</w:t>
            </w:r>
          </w:p>
          <w:p w14:paraId="32A98010" w14:textId="77777777" w:rsidR="00E70A53" w:rsidRPr="002E1CD2" w:rsidRDefault="08E1FDED" w:rsidP="08E1FDED">
            <w:pPr>
              <w:jc w:val="center"/>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Introduce key vocabulary, concepts, knowledge or skills so a pupil is ready to access the lesson.</w:t>
            </w:r>
          </w:p>
        </w:tc>
        <w:tc>
          <w:tcPr>
            <w:tcW w:w="3456" w:type="dxa"/>
            <w:tcMar>
              <w:top w:w="130" w:type="dxa"/>
              <w:left w:w="110" w:type="dxa"/>
              <w:bottom w:w="130" w:type="dxa"/>
              <w:right w:w="110" w:type="dxa"/>
            </w:tcMar>
          </w:tcPr>
          <w:p w14:paraId="3366F017" w14:textId="77777777" w:rsidR="00E70A53" w:rsidRPr="002E1CD2" w:rsidRDefault="08E1FDED" w:rsidP="08E1FDED">
            <w:pPr>
              <w:jc w:val="center"/>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ADAPTIVE TEACHING</w:t>
            </w:r>
          </w:p>
          <w:p w14:paraId="697047A5" w14:textId="77777777" w:rsidR="00E70A53" w:rsidRPr="002E1CD2" w:rsidRDefault="08E1FDED" w:rsidP="08E1FDED">
            <w:pPr>
              <w:jc w:val="center"/>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Use modelling, scaffolding, questioning, practice, representations and feedback in response to need.</w:t>
            </w:r>
          </w:p>
        </w:tc>
        <w:tc>
          <w:tcPr>
            <w:tcW w:w="3456" w:type="dxa"/>
            <w:tcMar>
              <w:top w:w="130" w:type="dxa"/>
              <w:left w:w="110" w:type="dxa"/>
              <w:bottom w:w="130" w:type="dxa"/>
              <w:right w:w="110" w:type="dxa"/>
            </w:tcMar>
          </w:tcPr>
          <w:p w14:paraId="009FFBEB" w14:textId="77777777" w:rsidR="00E70A53" w:rsidRPr="002E1CD2" w:rsidRDefault="08E1FDED" w:rsidP="08E1FDED">
            <w:pPr>
              <w:jc w:val="center"/>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POST-TEACH</w:t>
            </w:r>
          </w:p>
          <w:p w14:paraId="09F71011" w14:textId="77777777" w:rsidR="00E70A53" w:rsidRPr="002E1CD2" w:rsidRDefault="08E1FDED" w:rsidP="08E1FDED">
            <w:pPr>
              <w:jc w:val="center"/>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Revisit insecure learning promptly so the pupil can secure and apply the knowledge or skill.</w:t>
            </w:r>
          </w:p>
        </w:tc>
      </w:tr>
    </w:tbl>
    <w:p w14:paraId="457E902F" w14:textId="77777777" w:rsidR="00E70A53" w:rsidRPr="002E1CD2" w:rsidRDefault="08E1FDED" w:rsidP="08E1FDED">
      <w:pPr>
        <w:pStyle w:val="Heading2"/>
        <w:rPr>
          <w:rFonts w:cstheme="majorHAnsi"/>
          <w:color w:val="auto"/>
          <w:sz w:val="20"/>
          <w:szCs w:val="20"/>
        </w:rPr>
      </w:pPr>
      <w:r w:rsidRPr="002E1CD2">
        <w:rPr>
          <w:rFonts w:cstheme="majorHAnsi"/>
          <w:color w:val="auto"/>
          <w:sz w:val="20"/>
          <w:szCs w:val="20"/>
        </w:rPr>
        <w:t>How we check impact</w:t>
      </w:r>
    </w:p>
    <w:p w14:paraId="6C34C7E1"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Identify the precise barrier and a clear baseline.</w:t>
      </w:r>
    </w:p>
    <w:p w14:paraId="651D2B3D"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Record the focus, pupils, intended impact, delivery and lead adult.</w:t>
      </w:r>
    </w:p>
    <w:p w14:paraId="65D6A6C6"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Check the end measure and whether learning transfers back into the classroom.</w:t>
      </w:r>
    </w:p>
    <w:p w14:paraId="5A8CCB8A"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Decide whether support should continue, change or stop.</w:t>
      </w:r>
    </w:p>
    <w:p w14:paraId="3CFB9D53"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Use specialist programmes or professional recommendations when these match the pupil’s assessed needs.</w:t>
      </w:r>
    </w:p>
    <w:p w14:paraId="5AE4309D" w14:textId="77777777" w:rsidR="00E70A53" w:rsidRPr="002E1CD2" w:rsidRDefault="08E1FDED" w:rsidP="00D44AD1">
      <w:pPr>
        <w:pStyle w:val="Heading1"/>
        <w:jc w:val="center"/>
        <w:rPr>
          <w:rFonts w:cstheme="majorHAnsi"/>
          <w:color w:val="auto"/>
          <w:sz w:val="20"/>
          <w:szCs w:val="20"/>
        </w:rPr>
      </w:pPr>
      <w:r w:rsidRPr="002E1CD2">
        <w:rPr>
          <w:rFonts w:cstheme="majorHAnsi"/>
          <w:color w:val="auto"/>
          <w:sz w:val="20"/>
          <w:szCs w:val="20"/>
        </w:rPr>
        <w:t>6. Identification and assessment</w:t>
      </w:r>
    </w:p>
    <w:p w14:paraId="5C591545" w14:textId="77777777" w:rsidR="00E70A53" w:rsidRPr="002E1CD2" w:rsidRDefault="08E1FDED" w:rsidP="08E1FDED">
      <w:pPr>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Assessment is proportionate to the presenting need and supports professional judgement. No checklist or screening score determines identification on its own.</w:t>
      </w:r>
    </w:p>
    <w:tbl>
      <w:tblPr>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147"/>
        <w:gridCol w:w="5141"/>
        <w:gridCol w:w="50"/>
      </w:tblGrid>
      <w:tr w:rsidR="00E70A53" w:rsidRPr="002E1CD2" w14:paraId="11E3D3BD" w14:textId="77777777" w:rsidTr="08E1FDED">
        <w:trPr>
          <w:jc w:val="center"/>
        </w:trPr>
        <w:tc>
          <w:tcPr>
            <w:tcW w:w="5184" w:type="dxa"/>
            <w:shd w:val="clear" w:color="auto" w:fill="17365D"/>
            <w:tcMar>
              <w:top w:w="90" w:type="dxa"/>
              <w:left w:w="100" w:type="dxa"/>
              <w:bottom w:w="90" w:type="dxa"/>
              <w:right w:w="100" w:type="dxa"/>
            </w:tcMar>
            <w:vAlign w:val="center"/>
          </w:tcPr>
          <w:p w14:paraId="5FA80C09"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Assessment area</w:t>
            </w:r>
          </w:p>
        </w:tc>
        <w:tc>
          <w:tcPr>
            <w:tcW w:w="5184" w:type="dxa"/>
            <w:gridSpan w:val="2"/>
            <w:shd w:val="clear" w:color="auto" w:fill="17365D"/>
            <w:tcMar>
              <w:top w:w="90" w:type="dxa"/>
              <w:left w:w="100" w:type="dxa"/>
              <w:bottom w:w="90" w:type="dxa"/>
              <w:right w:w="100" w:type="dxa"/>
            </w:tcMar>
            <w:vAlign w:val="center"/>
          </w:tcPr>
          <w:p w14:paraId="24BAD978"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Examples available in school</w:t>
            </w:r>
          </w:p>
        </w:tc>
      </w:tr>
      <w:tr w:rsidR="00E70A53" w:rsidRPr="002E1CD2" w14:paraId="6F1A3735" w14:textId="77777777" w:rsidTr="08E1FDED">
        <w:trPr>
          <w:cantSplit/>
          <w:jc w:val="center"/>
        </w:trPr>
        <w:tc>
          <w:tcPr>
            <w:tcW w:w="5184" w:type="dxa"/>
            <w:tcMar>
              <w:top w:w="90" w:type="dxa"/>
              <w:left w:w="100" w:type="dxa"/>
              <w:bottom w:w="90" w:type="dxa"/>
              <w:right w:w="100" w:type="dxa"/>
            </w:tcMar>
            <w:vAlign w:val="center"/>
          </w:tcPr>
          <w:p w14:paraId="2E228A63"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Learning and attainment</w:t>
            </w:r>
          </w:p>
        </w:tc>
        <w:tc>
          <w:tcPr>
            <w:tcW w:w="5184" w:type="dxa"/>
            <w:gridSpan w:val="2"/>
            <w:tcMar>
              <w:top w:w="90" w:type="dxa"/>
              <w:left w:w="100" w:type="dxa"/>
              <w:bottom w:w="90" w:type="dxa"/>
              <w:right w:w="100" w:type="dxa"/>
            </w:tcMar>
            <w:vAlign w:val="center"/>
          </w:tcPr>
          <w:p w14:paraId="222E37D5"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Little Wandle; Accelerated Reader; Doodle Maths; Times Tables Rock Stars; NFER; York Reading Assessment; curriculum assessment.</w:t>
            </w:r>
          </w:p>
        </w:tc>
      </w:tr>
      <w:tr w:rsidR="00E70A53" w:rsidRPr="002E1CD2" w14:paraId="765F10DF" w14:textId="77777777" w:rsidTr="08E1FDED">
        <w:trPr>
          <w:cantSplit/>
          <w:jc w:val="center"/>
        </w:trPr>
        <w:tc>
          <w:tcPr>
            <w:tcW w:w="5184" w:type="dxa"/>
            <w:tcMar>
              <w:top w:w="90" w:type="dxa"/>
              <w:left w:w="100" w:type="dxa"/>
              <w:bottom w:w="90" w:type="dxa"/>
              <w:right w:w="100" w:type="dxa"/>
            </w:tcMar>
            <w:vAlign w:val="center"/>
          </w:tcPr>
          <w:p w14:paraId="6D6564FD"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Communication and interaction</w:t>
            </w:r>
          </w:p>
        </w:tc>
        <w:tc>
          <w:tcPr>
            <w:tcW w:w="5184" w:type="dxa"/>
            <w:gridSpan w:val="2"/>
            <w:tcMar>
              <w:top w:w="90" w:type="dxa"/>
              <w:left w:w="100" w:type="dxa"/>
              <w:bottom w:w="90" w:type="dxa"/>
              <w:right w:w="100" w:type="dxa"/>
            </w:tcMar>
            <w:vAlign w:val="center"/>
          </w:tcPr>
          <w:p w14:paraId="00033F96"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Speech and Language Screener; Blank Level Assessment; pupil voice and communication observation.</w:t>
            </w:r>
          </w:p>
        </w:tc>
      </w:tr>
      <w:tr w:rsidR="00E70A53" w:rsidRPr="002E1CD2" w14:paraId="51521857" w14:textId="77777777" w:rsidTr="08E1FDED">
        <w:trPr>
          <w:cantSplit/>
          <w:jc w:val="center"/>
        </w:trPr>
        <w:tc>
          <w:tcPr>
            <w:tcW w:w="5184" w:type="dxa"/>
            <w:tcMar>
              <w:top w:w="90" w:type="dxa"/>
              <w:left w:w="100" w:type="dxa"/>
              <w:bottom w:w="90" w:type="dxa"/>
              <w:right w:w="100" w:type="dxa"/>
            </w:tcMar>
            <w:vAlign w:val="center"/>
          </w:tcPr>
          <w:p w14:paraId="7392A1E6"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Social, emotional and mental health</w:t>
            </w:r>
          </w:p>
        </w:tc>
        <w:tc>
          <w:tcPr>
            <w:tcW w:w="5184" w:type="dxa"/>
            <w:gridSpan w:val="2"/>
            <w:tcMar>
              <w:top w:w="90" w:type="dxa"/>
              <w:left w:w="100" w:type="dxa"/>
              <w:bottom w:w="90" w:type="dxa"/>
              <w:right w:w="100" w:type="dxa"/>
            </w:tcMar>
            <w:vAlign w:val="center"/>
          </w:tcPr>
          <w:p w14:paraId="2F0B68EE"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SDQ; Three Houses; ABC behaviour chart; scaling and pupil questionnaire.</w:t>
            </w:r>
          </w:p>
        </w:tc>
      </w:tr>
      <w:tr w:rsidR="00E70A53" w:rsidRPr="002E1CD2" w14:paraId="064FBE5C" w14:textId="77777777" w:rsidTr="08E1FDED">
        <w:trPr>
          <w:cantSplit/>
          <w:jc w:val="center"/>
        </w:trPr>
        <w:tc>
          <w:tcPr>
            <w:tcW w:w="5184" w:type="dxa"/>
            <w:tcMar>
              <w:top w:w="90" w:type="dxa"/>
              <w:left w:w="100" w:type="dxa"/>
              <w:bottom w:w="90" w:type="dxa"/>
              <w:right w:w="100" w:type="dxa"/>
            </w:tcMar>
            <w:vAlign w:val="center"/>
          </w:tcPr>
          <w:p w14:paraId="3666B4DF"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Sensory and neurodevelopmental indicators</w:t>
            </w:r>
          </w:p>
        </w:tc>
        <w:tc>
          <w:tcPr>
            <w:tcW w:w="5184" w:type="dxa"/>
            <w:gridSpan w:val="2"/>
            <w:tcMar>
              <w:top w:w="90" w:type="dxa"/>
              <w:left w:w="100" w:type="dxa"/>
              <w:bottom w:w="90" w:type="dxa"/>
              <w:right w:w="100" w:type="dxa"/>
            </w:tcMar>
            <w:vAlign w:val="center"/>
          </w:tcPr>
          <w:p w14:paraId="201F4454"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AET Sensory Checklist; Coventry Grid; ADHD checklist; autism checklist; autism-for-girls checklist; dyslexia checklist.</w:t>
            </w:r>
          </w:p>
        </w:tc>
      </w:tr>
      <w:tr w:rsidR="00E70A53" w:rsidRPr="002E1CD2" w14:paraId="2F7A1556" w14:textId="77777777" w:rsidTr="08E1FDED">
        <w:tblPrEx>
          <w:tblBorders>
            <w:insideH w:val="none" w:sz="0" w:space="0" w:color="auto"/>
            <w:insideV w:val="none" w:sz="0" w:space="0" w:color="auto"/>
          </w:tblBorders>
        </w:tblPrEx>
        <w:trPr>
          <w:gridAfter w:val="1"/>
          <w:wAfter w:w="50" w:type="dxa"/>
          <w:jc w:val="center"/>
        </w:trPr>
        <w:tc>
          <w:tcPr>
            <w:tcW w:w="10368" w:type="dxa"/>
            <w:gridSpan w:val="2"/>
            <w:shd w:val="clear" w:color="auto" w:fill="EAF4F4"/>
            <w:tcMar>
              <w:top w:w="130" w:type="dxa"/>
              <w:left w:w="150" w:type="dxa"/>
              <w:bottom w:w="130" w:type="dxa"/>
              <w:right w:w="150" w:type="dxa"/>
            </w:tcMar>
          </w:tcPr>
          <w:p w14:paraId="12308215" w14:textId="77777777" w:rsidR="00E70A53" w:rsidRPr="002E1CD2" w:rsidRDefault="08E1FDED" w:rsidP="08E1FDED">
            <w:pPr>
              <w:spacing w:after="6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When specialist advice is needed</w:t>
            </w:r>
          </w:p>
          <w:p w14:paraId="4C3BE533"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The SENDCo may observe, review existing provision and seek advice from appropriate specialist services. Relevant recommendations are recorded in the Learning Plan and reviewed for impact.</w:t>
            </w:r>
          </w:p>
        </w:tc>
      </w:tr>
    </w:tbl>
    <w:p w14:paraId="60061E4C" w14:textId="77777777" w:rsidR="00E70A53" w:rsidRPr="002E1CD2" w:rsidRDefault="00E70A53" w:rsidP="08E1FDED">
      <w:pPr>
        <w:spacing w:after="0"/>
        <w:rPr>
          <w:rFonts w:asciiTheme="majorHAnsi" w:eastAsiaTheme="majorEastAsia" w:hAnsiTheme="majorHAnsi" w:cstheme="majorHAnsi"/>
          <w:sz w:val="20"/>
          <w:szCs w:val="20"/>
        </w:rPr>
      </w:pPr>
    </w:p>
    <w:p w14:paraId="2BCF8562" w14:textId="77777777" w:rsidR="00E70A53" w:rsidRPr="002E1CD2" w:rsidRDefault="08E1FDED" w:rsidP="00D44AD1">
      <w:pPr>
        <w:pStyle w:val="Heading1"/>
        <w:jc w:val="center"/>
        <w:rPr>
          <w:rFonts w:cstheme="majorHAnsi"/>
          <w:color w:val="auto"/>
          <w:sz w:val="20"/>
          <w:szCs w:val="20"/>
        </w:rPr>
      </w:pPr>
      <w:r w:rsidRPr="002E1CD2">
        <w:rPr>
          <w:rFonts w:cstheme="majorHAnsi"/>
          <w:color w:val="auto"/>
          <w:sz w:val="20"/>
          <w:szCs w:val="20"/>
        </w:rPr>
        <w:t>7. Woodpeckers: a flexible inclusive learning space</w:t>
      </w:r>
    </w:p>
    <w:p w14:paraId="688DB451" w14:textId="77777777" w:rsidR="00E70A53" w:rsidRPr="002E1CD2" w:rsidRDefault="08E1FDED" w:rsidP="08E1FDED">
      <w:pPr>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Woodpeckers is not an unofficial hub or a separate school placement. It is a flexible, inclusive learning space within our mainstream school for pupils who may benefit from a quieter, more structured or personalised environment during the mornings.</w:t>
      </w:r>
    </w:p>
    <w:p w14:paraId="2646BB28"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Every pupil remains attached to a mainstream class.</w:t>
      </w:r>
    </w:p>
    <w:p w14:paraId="19BB645F"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The class teacher retains responsibility for teaching, learning and assessment, working with the Woodpeckers lead.</w:t>
      </w:r>
    </w:p>
    <w:p w14:paraId="6DD89A7D"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Learning remains connected to the pupil’s year-group curriculum, with a slower pace or increased adaptation where appropriate.</w:t>
      </w:r>
    </w:p>
    <w:p w14:paraId="4F0AAF03"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Reintegration is planned carefully and progresses at a pace that is right for the child.</w:t>
      </w:r>
    </w:p>
    <w:p w14:paraId="1BD45243"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Impact is reviewed through learning, engagement, communication, regulation, independence and pupil/family voice.</w:t>
      </w:r>
    </w:p>
    <w:p w14:paraId="4D4BEC84" w14:textId="77777777" w:rsidR="00E70A53" w:rsidRPr="002E1CD2" w:rsidRDefault="08E1FDED" w:rsidP="00D44AD1">
      <w:pPr>
        <w:pStyle w:val="Heading1"/>
        <w:jc w:val="center"/>
        <w:rPr>
          <w:rFonts w:cstheme="majorHAnsi"/>
          <w:color w:val="auto"/>
          <w:sz w:val="20"/>
          <w:szCs w:val="20"/>
        </w:rPr>
      </w:pPr>
      <w:r w:rsidRPr="002E1CD2">
        <w:rPr>
          <w:rFonts w:cstheme="majorHAnsi"/>
          <w:color w:val="auto"/>
          <w:sz w:val="20"/>
          <w:szCs w:val="20"/>
        </w:rPr>
        <w:lastRenderedPageBreak/>
        <w:t>8. Working with pupils and families</w:t>
      </w:r>
    </w:p>
    <w:p w14:paraId="04C2CDBA" w14:textId="77777777" w:rsidR="00E70A53" w:rsidRPr="002E1CD2" w:rsidRDefault="08E1FDED" w:rsidP="08E1FDED">
      <w:pPr>
        <w:pStyle w:val="Heading2"/>
        <w:rPr>
          <w:rFonts w:cstheme="majorHAnsi"/>
          <w:color w:val="auto"/>
          <w:sz w:val="20"/>
          <w:szCs w:val="20"/>
        </w:rPr>
      </w:pPr>
      <w:r w:rsidRPr="002E1CD2">
        <w:rPr>
          <w:rFonts w:cstheme="majorHAnsi"/>
          <w:color w:val="auto"/>
          <w:sz w:val="20"/>
          <w:szCs w:val="20"/>
        </w:rPr>
        <w:t>Pupil voice</w:t>
      </w:r>
    </w:p>
    <w:p w14:paraId="0EADD2D6"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Pupils identify strengths, interests, aspirations and the support that helps them.</w:t>
      </w:r>
    </w:p>
    <w:p w14:paraId="70A1113D"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Pupils contribute to one-page profiles, Learning Plans, PLGs and reviews in an accessible way.</w:t>
      </w:r>
    </w:p>
    <w:p w14:paraId="083F9709"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Staff use conversation, observation, questionnaires, School Parliament and communication supports to hear every voice.</w:t>
      </w:r>
    </w:p>
    <w:p w14:paraId="500DC175" w14:textId="77777777" w:rsidR="00E70A53" w:rsidRPr="002E1CD2" w:rsidRDefault="08E1FDED" w:rsidP="08E1FDED">
      <w:pPr>
        <w:pStyle w:val="Heading2"/>
        <w:rPr>
          <w:rFonts w:cstheme="majorHAnsi"/>
          <w:color w:val="auto"/>
          <w:sz w:val="20"/>
          <w:szCs w:val="20"/>
        </w:rPr>
      </w:pPr>
      <w:r w:rsidRPr="002E1CD2">
        <w:rPr>
          <w:rFonts w:cstheme="majorHAnsi"/>
          <w:color w:val="auto"/>
          <w:sz w:val="20"/>
          <w:szCs w:val="20"/>
        </w:rPr>
        <w:t>Family partnership</w:t>
      </w:r>
    </w:p>
    <w:p w14:paraId="31D1D84C"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Home and nursery visits, stay-and-play sessions and additional transition meetings help us understand children early.</w:t>
      </w:r>
    </w:p>
    <w:p w14:paraId="7B53B5D7"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Families contribute to APDR and annual reviews and can contact teachers, the SENDCo and senior leaders.</w:t>
      </w:r>
    </w:p>
    <w:p w14:paraId="52A0DAA5"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Coffee mornings, workshops, pastoral support, PINS work and the community hub provide further opportunities for partnership.</w:t>
      </w:r>
    </w:p>
    <w:p w14:paraId="26BFD27A"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Families can be signposted to impartial advice and wider services where appropriate.</w:t>
      </w:r>
    </w:p>
    <w:p w14:paraId="0268DBA4" w14:textId="77777777" w:rsidR="00E70A53" w:rsidRPr="002E1CD2" w:rsidRDefault="08E1FDED" w:rsidP="00D44AD1">
      <w:pPr>
        <w:pStyle w:val="Heading1"/>
        <w:jc w:val="center"/>
        <w:rPr>
          <w:rFonts w:cstheme="majorHAnsi"/>
          <w:color w:val="auto"/>
          <w:sz w:val="20"/>
          <w:szCs w:val="20"/>
        </w:rPr>
      </w:pPr>
      <w:r w:rsidRPr="002E1CD2">
        <w:rPr>
          <w:rFonts w:cstheme="majorHAnsi"/>
          <w:color w:val="auto"/>
          <w:sz w:val="20"/>
          <w:szCs w:val="20"/>
        </w:rPr>
        <w:t>9. Transition</w:t>
      </w:r>
    </w:p>
    <w:p w14:paraId="066BE7E3"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Information is gathered from families, nurseries, previous teachers and relevant professionals.</w:t>
      </w:r>
    </w:p>
    <w:p w14:paraId="2B8635D0" w14:textId="07AB611B"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Staff read previous Learning Plans, one-page profiles and PLGs and build on successful strategies</w:t>
      </w:r>
    </w:p>
    <w:p w14:paraId="70B4DC7A"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 xml:space="preserve">Additional visits, visual preparation, familiar adults and buddying are used </w:t>
      </w:r>
      <w:proofErr w:type="gramStart"/>
      <w:r w:rsidRPr="002E1CD2">
        <w:rPr>
          <w:rFonts w:asciiTheme="majorHAnsi" w:eastAsiaTheme="majorEastAsia" w:hAnsiTheme="majorHAnsi" w:cstheme="majorHAnsi"/>
          <w:sz w:val="20"/>
          <w:szCs w:val="20"/>
        </w:rPr>
        <w:t>where</w:t>
      </w:r>
      <w:proofErr w:type="gramEnd"/>
      <w:r w:rsidRPr="002E1CD2">
        <w:rPr>
          <w:rFonts w:asciiTheme="majorHAnsi" w:eastAsiaTheme="majorEastAsia" w:hAnsiTheme="majorHAnsi" w:cstheme="majorHAnsi"/>
          <w:sz w:val="20"/>
          <w:szCs w:val="20"/>
        </w:rPr>
        <w:t xml:space="preserve"> helpful.</w:t>
      </w:r>
    </w:p>
    <w:p w14:paraId="20A0D5B8"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At every stage, relational practice helps pupils feel wanted, included, known and successful.</w:t>
      </w:r>
    </w:p>
    <w:p w14:paraId="13326583" w14:textId="77777777" w:rsidR="00E70A53" w:rsidRPr="002E1CD2" w:rsidRDefault="08E1FDED" w:rsidP="00D44AD1">
      <w:pPr>
        <w:pStyle w:val="Heading1"/>
        <w:jc w:val="center"/>
        <w:rPr>
          <w:rFonts w:cstheme="majorHAnsi"/>
          <w:color w:val="auto"/>
          <w:sz w:val="20"/>
          <w:szCs w:val="20"/>
        </w:rPr>
      </w:pPr>
      <w:r w:rsidRPr="002E1CD2">
        <w:rPr>
          <w:rFonts w:cstheme="majorHAnsi"/>
          <w:color w:val="auto"/>
          <w:sz w:val="20"/>
          <w:szCs w:val="20"/>
        </w:rPr>
        <w:t>10. Roles and accountability</w:t>
      </w:r>
    </w:p>
    <w:tbl>
      <w:tblPr>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168"/>
        <w:gridCol w:w="5170"/>
      </w:tblGrid>
      <w:tr w:rsidR="00E70A53" w:rsidRPr="002E1CD2" w14:paraId="06D301FC" w14:textId="77777777" w:rsidTr="00D44AD1">
        <w:trPr>
          <w:jc w:val="center"/>
        </w:trPr>
        <w:tc>
          <w:tcPr>
            <w:tcW w:w="5184" w:type="dxa"/>
            <w:shd w:val="clear" w:color="auto" w:fill="C6D9F1" w:themeFill="text2" w:themeFillTint="33"/>
            <w:tcMar>
              <w:top w:w="90" w:type="dxa"/>
              <w:left w:w="100" w:type="dxa"/>
              <w:bottom w:w="90" w:type="dxa"/>
              <w:right w:w="100" w:type="dxa"/>
            </w:tcMar>
            <w:vAlign w:val="center"/>
          </w:tcPr>
          <w:p w14:paraId="3A19083A"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Who</w:t>
            </w:r>
          </w:p>
        </w:tc>
        <w:tc>
          <w:tcPr>
            <w:tcW w:w="5184" w:type="dxa"/>
            <w:shd w:val="clear" w:color="auto" w:fill="C6D9F1" w:themeFill="text2" w:themeFillTint="33"/>
            <w:tcMar>
              <w:top w:w="90" w:type="dxa"/>
              <w:left w:w="100" w:type="dxa"/>
              <w:bottom w:w="90" w:type="dxa"/>
              <w:right w:w="100" w:type="dxa"/>
            </w:tcMar>
            <w:vAlign w:val="center"/>
          </w:tcPr>
          <w:p w14:paraId="2614D3E7"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Core responsibility</w:t>
            </w:r>
          </w:p>
        </w:tc>
      </w:tr>
      <w:tr w:rsidR="00E70A53" w:rsidRPr="002E1CD2" w14:paraId="5986DE93" w14:textId="77777777" w:rsidTr="08E1FDED">
        <w:trPr>
          <w:cantSplit/>
          <w:jc w:val="center"/>
        </w:trPr>
        <w:tc>
          <w:tcPr>
            <w:tcW w:w="5184" w:type="dxa"/>
            <w:tcMar>
              <w:top w:w="90" w:type="dxa"/>
              <w:left w:w="100" w:type="dxa"/>
              <w:bottom w:w="90" w:type="dxa"/>
              <w:right w:w="100" w:type="dxa"/>
            </w:tcMar>
            <w:vAlign w:val="center"/>
          </w:tcPr>
          <w:p w14:paraId="713BF76B"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Class teacher</w:t>
            </w:r>
          </w:p>
        </w:tc>
        <w:tc>
          <w:tcPr>
            <w:tcW w:w="5184" w:type="dxa"/>
            <w:tcMar>
              <w:top w:w="90" w:type="dxa"/>
              <w:left w:w="100" w:type="dxa"/>
              <w:bottom w:w="90" w:type="dxa"/>
              <w:right w:w="100" w:type="dxa"/>
            </w:tcMar>
            <w:vAlign w:val="center"/>
          </w:tcPr>
          <w:p w14:paraId="1B114186"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Leads teaching, learning, assessment, adaptive teaching and communication with families. Knows and implements the Learning Plan.</w:t>
            </w:r>
          </w:p>
        </w:tc>
      </w:tr>
      <w:tr w:rsidR="00E70A53" w:rsidRPr="002E1CD2" w14:paraId="03499DDA" w14:textId="77777777" w:rsidTr="08E1FDED">
        <w:trPr>
          <w:cantSplit/>
          <w:jc w:val="center"/>
        </w:trPr>
        <w:tc>
          <w:tcPr>
            <w:tcW w:w="5184" w:type="dxa"/>
            <w:tcMar>
              <w:top w:w="90" w:type="dxa"/>
              <w:left w:w="100" w:type="dxa"/>
              <w:bottom w:w="90" w:type="dxa"/>
              <w:right w:w="100" w:type="dxa"/>
            </w:tcMar>
            <w:vAlign w:val="center"/>
          </w:tcPr>
          <w:p w14:paraId="62DA864A"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Teaching assistant</w:t>
            </w:r>
          </w:p>
        </w:tc>
        <w:tc>
          <w:tcPr>
            <w:tcW w:w="5184" w:type="dxa"/>
            <w:tcMar>
              <w:top w:w="90" w:type="dxa"/>
              <w:left w:w="100" w:type="dxa"/>
              <w:bottom w:w="90" w:type="dxa"/>
              <w:right w:w="100" w:type="dxa"/>
            </w:tcMar>
            <w:vAlign w:val="center"/>
          </w:tcPr>
          <w:p w14:paraId="36982623"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Works under teacher direction, supports targeted pre/post-teaching, records useful evidence and develops independence.</w:t>
            </w:r>
          </w:p>
        </w:tc>
      </w:tr>
      <w:tr w:rsidR="00E70A53" w:rsidRPr="002E1CD2" w14:paraId="3EDC52E9" w14:textId="77777777" w:rsidTr="08E1FDED">
        <w:trPr>
          <w:cantSplit/>
          <w:jc w:val="center"/>
        </w:trPr>
        <w:tc>
          <w:tcPr>
            <w:tcW w:w="5184" w:type="dxa"/>
            <w:tcMar>
              <w:top w:w="90" w:type="dxa"/>
              <w:left w:w="100" w:type="dxa"/>
              <w:bottom w:w="90" w:type="dxa"/>
              <w:right w:w="100" w:type="dxa"/>
            </w:tcMar>
            <w:vAlign w:val="center"/>
          </w:tcPr>
          <w:p w14:paraId="2FB6908B"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SENDCo</w:t>
            </w:r>
          </w:p>
        </w:tc>
        <w:tc>
          <w:tcPr>
            <w:tcW w:w="5184" w:type="dxa"/>
            <w:tcMar>
              <w:top w:w="90" w:type="dxa"/>
              <w:left w:w="100" w:type="dxa"/>
              <w:bottom w:w="90" w:type="dxa"/>
              <w:right w:w="100" w:type="dxa"/>
            </w:tcMar>
            <w:vAlign w:val="center"/>
          </w:tcPr>
          <w:p w14:paraId="308B5295"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 xml:space="preserve">Leads the </w:t>
            </w:r>
            <w:proofErr w:type="gramStart"/>
            <w:r w:rsidRPr="002E1CD2">
              <w:rPr>
                <w:rFonts w:asciiTheme="majorHAnsi" w:eastAsiaTheme="majorEastAsia" w:hAnsiTheme="majorHAnsi" w:cstheme="majorHAnsi"/>
                <w:sz w:val="20"/>
                <w:szCs w:val="20"/>
              </w:rPr>
              <w:t>graduated</w:t>
            </w:r>
            <w:proofErr w:type="gramEnd"/>
            <w:r w:rsidRPr="002E1CD2">
              <w:rPr>
                <w:rFonts w:asciiTheme="majorHAnsi" w:eastAsiaTheme="majorEastAsia" w:hAnsiTheme="majorHAnsi" w:cstheme="majorHAnsi"/>
                <w:sz w:val="20"/>
                <w:szCs w:val="20"/>
              </w:rPr>
              <w:t xml:space="preserve"> response, advises staff, quality assures provision, works with families and coordinates specialist input.</w:t>
            </w:r>
          </w:p>
        </w:tc>
      </w:tr>
      <w:tr w:rsidR="00E70A53" w:rsidRPr="002E1CD2" w14:paraId="6F79EBB1" w14:textId="77777777" w:rsidTr="08E1FDED">
        <w:trPr>
          <w:cantSplit/>
          <w:jc w:val="center"/>
        </w:trPr>
        <w:tc>
          <w:tcPr>
            <w:tcW w:w="5184" w:type="dxa"/>
            <w:tcMar>
              <w:top w:w="90" w:type="dxa"/>
              <w:left w:w="100" w:type="dxa"/>
              <w:bottom w:w="90" w:type="dxa"/>
              <w:right w:w="100" w:type="dxa"/>
            </w:tcMar>
            <w:vAlign w:val="center"/>
          </w:tcPr>
          <w:p w14:paraId="01FE7CE0"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Subject and senior leaders</w:t>
            </w:r>
          </w:p>
        </w:tc>
        <w:tc>
          <w:tcPr>
            <w:tcW w:w="5184" w:type="dxa"/>
            <w:tcMar>
              <w:top w:w="90" w:type="dxa"/>
              <w:left w:w="100" w:type="dxa"/>
              <w:bottom w:w="90" w:type="dxa"/>
              <w:right w:w="100" w:type="dxa"/>
            </w:tcMar>
            <w:vAlign w:val="center"/>
          </w:tcPr>
          <w:p w14:paraId="4C3BE8E3"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Ensure curriculum accessibility, consistent WalkThrus-informed practice, professional development and evaluation of impact.</w:t>
            </w:r>
          </w:p>
        </w:tc>
      </w:tr>
      <w:tr w:rsidR="00E70A53" w:rsidRPr="002E1CD2" w14:paraId="7756ACF0" w14:textId="77777777" w:rsidTr="08E1FDED">
        <w:trPr>
          <w:cantSplit/>
          <w:jc w:val="center"/>
        </w:trPr>
        <w:tc>
          <w:tcPr>
            <w:tcW w:w="5184" w:type="dxa"/>
            <w:tcMar>
              <w:top w:w="90" w:type="dxa"/>
              <w:left w:w="100" w:type="dxa"/>
              <w:bottom w:w="90" w:type="dxa"/>
              <w:right w:w="100" w:type="dxa"/>
            </w:tcMar>
            <w:vAlign w:val="center"/>
          </w:tcPr>
          <w:p w14:paraId="035C4EFF"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Academy Council</w:t>
            </w:r>
          </w:p>
        </w:tc>
        <w:tc>
          <w:tcPr>
            <w:tcW w:w="5184" w:type="dxa"/>
            <w:tcMar>
              <w:top w:w="90" w:type="dxa"/>
              <w:left w:w="100" w:type="dxa"/>
              <w:bottom w:w="90" w:type="dxa"/>
              <w:right w:w="100" w:type="dxa"/>
            </w:tcMar>
            <w:vAlign w:val="center"/>
          </w:tcPr>
          <w:p w14:paraId="7EF44F73"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Provides strategic oversight and challenge on provision, outcomes, participation, statutory duties and use of resources.</w:t>
            </w:r>
          </w:p>
        </w:tc>
      </w:tr>
    </w:tbl>
    <w:p w14:paraId="1F61CA2A" w14:textId="77777777" w:rsidR="00E70A53" w:rsidRPr="002E1CD2" w:rsidRDefault="08E1FDED" w:rsidP="00D44AD1">
      <w:pPr>
        <w:pStyle w:val="Heading1"/>
        <w:jc w:val="center"/>
        <w:rPr>
          <w:rFonts w:cstheme="majorHAnsi"/>
          <w:color w:val="auto"/>
          <w:sz w:val="20"/>
          <w:szCs w:val="20"/>
        </w:rPr>
      </w:pPr>
      <w:r w:rsidRPr="002E1CD2">
        <w:rPr>
          <w:rFonts w:cstheme="majorHAnsi"/>
          <w:color w:val="auto"/>
          <w:sz w:val="20"/>
          <w:szCs w:val="20"/>
        </w:rPr>
        <w:t>11. How we know our offer is working</w:t>
      </w:r>
    </w:p>
    <w:p w14:paraId="207C60B5"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Pupils feel safe, known, included and able to communicate their views.</w:t>
      </w:r>
    </w:p>
    <w:p w14:paraId="399BC362"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Learning Plans and professional recommendations are visible in everyday practice.</w:t>
      </w:r>
    </w:p>
    <w:p w14:paraId="0B301E6E"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Pupils access an ambitious curriculum and wider school opportunities.</w:t>
      </w:r>
    </w:p>
    <w:p w14:paraId="78C9104F"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Pre/post-teaching and targeted support show progress from a baseline and transfer into class.</w:t>
      </w:r>
    </w:p>
    <w:p w14:paraId="1FF49C33"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Families understand the support, contribute to decisions and know who to contact.</w:t>
      </w:r>
    </w:p>
    <w:p w14:paraId="4E28A825" w14:textId="77777777" w:rsidR="00E70A53" w:rsidRPr="002E1CD2"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Leaders review learning, attendance, engagement, participation, behaviour, communication, regulation and independence.</w:t>
      </w:r>
    </w:p>
    <w:p w14:paraId="76994D33" w14:textId="77777777" w:rsidR="00E70A53" w:rsidRDefault="08E1FDED" w:rsidP="08E1FDED">
      <w:pPr>
        <w:pStyle w:val="ListBullet"/>
        <w:spacing w:after="40" w:line="245" w:lineRule="auto"/>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Staff development is followed by coaching, learning walks and review of its effect on pupils.</w:t>
      </w:r>
    </w:p>
    <w:p w14:paraId="7585FD3F" w14:textId="77777777" w:rsidR="00B71FD0" w:rsidRDefault="00B71FD0" w:rsidP="00B71FD0">
      <w:pPr>
        <w:pStyle w:val="ListBullet"/>
        <w:numPr>
          <w:ilvl w:val="0"/>
          <w:numId w:val="0"/>
        </w:numPr>
        <w:spacing w:after="40" w:line="245" w:lineRule="auto"/>
        <w:ind w:left="259" w:hanging="173"/>
        <w:rPr>
          <w:rFonts w:asciiTheme="majorHAnsi" w:eastAsiaTheme="majorEastAsia" w:hAnsiTheme="majorHAnsi" w:cstheme="majorHAnsi"/>
          <w:sz w:val="20"/>
          <w:szCs w:val="20"/>
        </w:rPr>
      </w:pPr>
    </w:p>
    <w:p w14:paraId="38DADA0E" w14:textId="77777777" w:rsidR="00B71FD0" w:rsidRDefault="00B71FD0" w:rsidP="00B71FD0">
      <w:pPr>
        <w:pStyle w:val="ListBullet"/>
        <w:numPr>
          <w:ilvl w:val="0"/>
          <w:numId w:val="0"/>
        </w:numPr>
        <w:spacing w:after="40" w:line="245" w:lineRule="auto"/>
        <w:ind w:left="259" w:hanging="173"/>
        <w:rPr>
          <w:rFonts w:asciiTheme="majorHAnsi" w:eastAsiaTheme="majorEastAsia" w:hAnsiTheme="majorHAnsi" w:cstheme="majorHAnsi"/>
          <w:sz w:val="20"/>
          <w:szCs w:val="20"/>
        </w:rPr>
      </w:pPr>
    </w:p>
    <w:p w14:paraId="04824793" w14:textId="77777777" w:rsidR="00B71FD0" w:rsidRPr="002E1CD2" w:rsidRDefault="00B71FD0" w:rsidP="00B71FD0">
      <w:pPr>
        <w:pStyle w:val="ListBullet"/>
        <w:numPr>
          <w:ilvl w:val="0"/>
          <w:numId w:val="0"/>
        </w:numPr>
        <w:spacing w:after="40" w:line="245" w:lineRule="auto"/>
        <w:ind w:left="259" w:hanging="173"/>
        <w:rPr>
          <w:rFonts w:asciiTheme="majorHAnsi" w:eastAsiaTheme="majorEastAsia" w:hAnsiTheme="majorHAnsi" w:cstheme="majorHAnsi"/>
          <w:sz w:val="20"/>
          <w:szCs w:val="20"/>
        </w:rPr>
      </w:pPr>
    </w:p>
    <w:p w14:paraId="44EAFD9C" w14:textId="77777777" w:rsidR="00E70A53" w:rsidRPr="002E1CD2" w:rsidRDefault="00E70A53" w:rsidP="08E1FDED">
      <w:pPr>
        <w:spacing w:after="0"/>
        <w:rPr>
          <w:rFonts w:asciiTheme="majorHAnsi" w:eastAsiaTheme="majorEastAsia" w:hAnsiTheme="majorHAnsi" w:cstheme="majorHAnsi"/>
          <w:sz w:val="20"/>
          <w:szCs w:val="20"/>
        </w:rPr>
      </w:pPr>
    </w:p>
    <w:p w14:paraId="2D7C2BBE" w14:textId="77777777" w:rsidR="00E70A53" w:rsidRPr="002E1CD2" w:rsidRDefault="08E1FDED" w:rsidP="00D44AD1">
      <w:pPr>
        <w:pStyle w:val="Heading1"/>
        <w:jc w:val="center"/>
        <w:rPr>
          <w:rFonts w:cstheme="majorHAnsi"/>
          <w:color w:val="auto"/>
          <w:sz w:val="20"/>
          <w:szCs w:val="20"/>
        </w:rPr>
      </w:pPr>
      <w:r w:rsidRPr="002E1CD2">
        <w:rPr>
          <w:rFonts w:cstheme="majorHAnsi"/>
          <w:color w:val="auto"/>
          <w:sz w:val="20"/>
          <w:szCs w:val="20"/>
        </w:rPr>
        <w:t>12. Key terms</w:t>
      </w:r>
    </w:p>
    <w:tbl>
      <w:tblPr>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167"/>
        <w:gridCol w:w="5171"/>
      </w:tblGrid>
      <w:tr w:rsidR="00E70A53" w:rsidRPr="002E1CD2" w14:paraId="6E4614DE" w14:textId="77777777" w:rsidTr="08E1FDED">
        <w:trPr>
          <w:jc w:val="center"/>
        </w:trPr>
        <w:tc>
          <w:tcPr>
            <w:tcW w:w="5184" w:type="dxa"/>
            <w:shd w:val="clear" w:color="auto" w:fill="17365D"/>
            <w:tcMar>
              <w:top w:w="90" w:type="dxa"/>
              <w:left w:w="100" w:type="dxa"/>
              <w:bottom w:w="90" w:type="dxa"/>
              <w:right w:w="100" w:type="dxa"/>
            </w:tcMar>
            <w:vAlign w:val="center"/>
          </w:tcPr>
          <w:p w14:paraId="0CEB4B25"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Term</w:t>
            </w:r>
          </w:p>
        </w:tc>
        <w:tc>
          <w:tcPr>
            <w:tcW w:w="5184" w:type="dxa"/>
            <w:shd w:val="clear" w:color="auto" w:fill="17365D"/>
            <w:tcMar>
              <w:top w:w="90" w:type="dxa"/>
              <w:left w:w="100" w:type="dxa"/>
              <w:bottom w:w="90" w:type="dxa"/>
              <w:right w:w="100" w:type="dxa"/>
            </w:tcMar>
            <w:vAlign w:val="center"/>
          </w:tcPr>
          <w:p w14:paraId="41734910"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Meaning in this guide</w:t>
            </w:r>
          </w:p>
        </w:tc>
      </w:tr>
      <w:tr w:rsidR="00E70A53" w:rsidRPr="002E1CD2" w14:paraId="6A3CDD78" w14:textId="77777777" w:rsidTr="08E1FDED">
        <w:trPr>
          <w:cantSplit/>
          <w:jc w:val="center"/>
        </w:trPr>
        <w:tc>
          <w:tcPr>
            <w:tcW w:w="5184" w:type="dxa"/>
            <w:tcMar>
              <w:top w:w="90" w:type="dxa"/>
              <w:left w:w="100" w:type="dxa"/>
              <w:bottom w:w="90" w:type="dxa"/>
              <w:right w:w="100" w:type="dxa"/>
            </w:tcMar>
            <w:vAlign w:val="center"/>
          </w:tcPr>
          <w:p w14:paraId="2B22A475"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SENDV</w:t>
            </w:r>
          </w:p>
        </w:tc>
        <w:tc>
          <w:tcPr>
            <w:tcW w:w="5184" w:type="dxa"/>
            <w:tcMar>
              <w:top w:w="90" w:type="dxa"/>
              <w:left w:w="100" w:type="dxa"/>
              <w:bottom w:w="90" w:type="dxa"/>
              <w:right w:w="100" w:type="dxa"/>
            </w:tcMar>
            <w:vAlign w:val="center"/>
          </w:tcPr>
          <w:p w14:paraId="247FEF91"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Meridian Trust terminology for special educational needs, disabilities and wider vulnerability/inclusion.</w:t>
            </w:r>
          </w:p>
        </w:tc>
      </w:tr>
      <w:tr w:rsidR="00E70A53" w:rsidRPr="002E1CD2" w14:paraId="06B69FBD" w14:textId="77777777" w:rsidTr="08E1FDED">
        <w:trPr>
          <w:cantSplit/>
          <w:jc w:val="center"/>
        </w:trPr>
        <w:tc>
          <w:tcPr>
            <w:tcW w:w="5184" w:type="dxa"/>
            <w:tcMar>
              <w:top w:w="90" w:type="dxa"/>
              <w:left w:w="100" w:type="dxa"/>
              <w:bottom w:w="90" w:type="dxa"/>
              <w:right w:w="100" w:type="dxa"/>
            </w:tcMar>
            <w:vAlign w:val="center"/>
          </w:tcPr>
          <w:p w14:paraId="11472074"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OAIP</w:t>
            </w:r>
          </w:p>
        </w:tc>
        <w:tc>
          <w:tcPr>
            <w:tcW w:w="5184" w:type="dxa"/>
            <w:tcMar>
              <w:top w:w="90" w:type="dxa"/>
              <w:left w:w="100" w:type="dxa"/>
              <w:bottom w:w="90" w:type="dxa"/>
              <w:right w:w="100" w:type="dxa"/>
            </w:tcMar>
            <w:vAlign w:val="center"/>
          </w:tcPr>
          <w:p w14:paraId="0E1D8E11"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Ordinarily Available Inclusive Practice: the support and adjustments expected within the mainstream universal offer.</w:t>
            </w:r>
          </w:p>
        </w:tc>
      </w:tr>
      <w:tr w:rsidR="00E70A53" w:rsidRPr="002E1CD2" w14:paraId="573941F3" w14:textId="77777777" w:rsidTr="08E1FDED">
        <w:trPr>
          <w:cantSplit/>
          <w:jc w:val="center"/>
        </w:trPr>
        <w:tc>
          <w:tcPr>
            <w:tcW w:w="5184" w:type="dxa"/>
            <w:tcMar>
              <w:top w:w="90" w:type="dxa"/>
              <w:left w:w="100" w:type="dxa"/>
              <w:bottom w:w="90" w:type="dxa"/>
              <w:right w:w="100" w:type="dxa"/>
            </w:tcMar>
            <w:vAlign w:val="center"/>
          </w:tcPr>
          <w:p w14:paraId="777FA464"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APDR</w:t>
            </w:r>
          </w:p>
        </w:tc>
        <w:tc>
          <w:tcPr>
            <w:tcW w:w="5184" w:type="dxa"/>
            <w:tcMar>
              <w:top w:w="90" w:type="dxa"/>
              <w:left w:w="100" w:type="dxa"/>
              <w:bottom w:w="90" w:type="dxa"/>
              <w:right w:w="100" w:type="dxa"/>
            </w:tcMar>
            <w:vAlign w:val="center"/>
          </w:tcPr>
          <w:p w14:paraId="77763398"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Assess, Plan, Do, Review: the continuous graduated response used to understand need and evaluate support.</w:t>
            </w:r>
          </w:p>
        </w:tc>
      </w:tr>
      <w:tr w:rsidR="00E70A53" w:rsidRPr="002E1CD2" w14:paraId="331A20C3" w14:textId="77777777" w:rsidTr="08E1FDED">
        <w:trPr>
          <w:cantSplit/>
          <w:jc w:val="center"/>
        </w:trPr>
        <w:tc>
          <w:tcPr>
            <w:tcW w:w="5184" w:type="dxa"/>
            <w:tcMar>
              <w:top w:w="90" w:type="dxa"/>
              <w:left w:w="100" w:type="dxa"/>
              <w:bottom w:w="90" w:type="dxa"/>
              <w:right w:w="100" w:type="dxa"/>
            </w:tcMar>
            <w:vAlign w:val="center"/>
          </w:tcPr>
          <w:p w14:paraId="78F7FF6E"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Learning Plan</w:t>
            </w:r>
          </w:p>
        </w:tc>
        <w:tc>
          <w:tcPr>
            <w:tcW w:w="5184" w:type="dxa"/>
            <w:tcMar>
              <w:top w:w="90" w:type="dxa"/>
              <w:left w:w="100" w:type="dxa"/>
              <w:bottom w:w="90" w:type="dxa"/>
              <w:right w:w="100" w:type="dxa"/>
            </w:tcMar>
            <w:vAlign w:val="center"/>
          </w:tcPr>
          <w:p w14:paraId="7CAE5102"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The school record of additional support, strategies, resources and SMART outcomes for a pupil.</w:t>
            </w:r>
          </w:p>
        </w:tc>
      </w:tr>
      <w:tr w:rsidR="00E70A53" w:rsidRPr="002E1CD2" w14:paraId="3CC6A286" w14:textId="77777777" w:rsidTr="08E1FDED">
        <w:trPr>
          <w:cantSplit/>
          <w:jc w:val="center"/>
        </w:trPr>
        <w:tc>
          <w:tcPr>
            <w:tcW w:w="5184" w:type="dxa"/>
            <w:tcMar>
              <w:top w:w="90" w:type="dxa"/>
              <w:left w:w="100" w:type="dxa"/>
              <w:bottom w:w="90" w:type="dxa"/>
              <w:right w:w="100" w:type="dxa"/>
            </w:tcMar>
            <w:vAlign w:val="center"/>
          </w:tcPr>
          <w:p w14:paraId="4D55354F"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PLG</w:t>
            </w:r>
          </w:p>
        </w:tc>
        <w:tc>
          <w:tcPr>
            <w:tcW w:w="5184" w:type="dxa"/>
            <w:tcMar>
              <w:top w:w="90" w:type="dxa"/>
              <w:left w:w="100" w:type="dxa"/>
              <w:bottom w:w="90" w:type="dxa"/>
              <w:right w:w="100" w:type="dxa"/>
            </w:tcMar>
            <w:vAlign w:val="center"/>
          </w:tcPr>
          <w:p w14:paraId="091ED5D2"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Personal Learning Goal used to support outcomes for pupils with an EHCP.</w:t>
            </w:r>
          </w:p>
        </w:tc>
      </w:tr>
      <w:tr w:rsidR="00E70A53" w:rsidRPr="002E1CD2" w14:paraId="18274CEE" w14:textId="77777777" w:rsidTr="08E1FDED">
        <w:trPr>
          <w:cantSplit/>
          <w:jc w:val="center"/>
        </w:trPr>
        <w:tc>
          <w:tcPr>
            <w:tcW w:w="5184" w:type="dxa"/>
            <w:tcMar>
              <w:top w:w="90" w:type="dxa"/>
              <w:left w:w="100" w:type="dxa"/>
              <w:bottom w:w="90" w:type="dxa"/>
              <w:right w:w="100" w:type="dxa"/>
            </w:tcMar>
            <w:vAlign w:val="center"/>
          </w:tcPr>
          <w:p w14:paraId="03ED83E8"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Adaptive teaching</w:t>
            </w:r>
          </w:p>
        </w:tc>
        <w:tc>
          <w:tcPr>
            <w:tcW w:w="5184" w:type="dxa"/>
            <w:tcMar>
              <w:top w:w="90" w:type="dxa"/>
              <w:left w:w="100" w:type="dxa"/>
              <w:bottom w:w="90" w:type="dxa"/>
              <w:right w:w="100" w:type="dxa"/>
            </w:tcMar>
            <w:vAlign w:val="center"/>
          </w:tcPr>
          <w:p w14:paraId="4D0B8AC3"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Continually adjusting teaching in response to what pupils know, understand and can do, while maintaining appropriate support and challenge.</w:t>
            </w:r>
          </w:p>
        </w:tc>
      </w:tr>
      <w:tr w:rsidR="00E70A53" w:rsidRPr="002E1CD2" w14:paraId="1EC29B66" w14:textId="77777777" w:rsidTr="08E1FDED">
        <w:trPr>
          <w:cantSplit/>
          <w:jc w:val="center"/>
        </w:trPr>
        <w:tc>
          <w:tcPr>
            <w:tcW w:w="5184" w:type="dxa"/>
            <w:tcMar>
              <w:top w:w="90" w:type="dxa"/>
              <w:left w:w="100" w:type="dxa"/>
              <w:bottom w:w="90" w:type="dxa"/>
              <w:right w:w="100" w:type="dxa"/>
            </w:tcMar>
            <w:vAlign w:val="center"/>
          </w:tcPr>
          <w:p w14:paraId="398BEBE2"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Widgit</w:t>
            </w:r>
          </w:p>
        </w:tc>
        <w:tc>
          <w:tcPr>
            <w:tcW w:w="5184" w:type="dxa"/>
            <w:tcMar>
              <w:top w:w="90" w:type="dxa"/>
              <w:left w:w="100" w:type="dxa"/>
              <w:bottom w:w="90" w:type="dxa"/>
              <w:right w:w="100" w:type="dxa"/>
            </w:tcMar>
            <w:vAlign w:val="center"/>
          </w:tcPr>
          <w:p w14:paraId="2C3F9AFD" w14:textId="77777777"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Symbol-supported visuals used to aid understanding, communication and independence.</w:t>
            </w:r>
          </w:p>
        </w:tc>
      </w:tr>
      <w:tr w:rsidR="00E70A53" w:rsidRPr="002E1CD2" w14:paraId="1125C4E4" w14:textId="77777777" w:rsidTr="08E1FDED">
        <w:trPr>
          <w:cantSplit/>
          <w:jc w:val="center"/>
        </w:trPr>
        <w:tc>
          <w:tcPr>
            <w:tcW w:w="5184" w:type="dxa"/>
            <w:tcMar>
              <w:top w:w="90" w:type="dxa"/>
              <w:left w:w="100" w:type="dxa"/>
              <w:bottom w:w="90" w:type="dxa"/>
              <w:right w:w="100" w:type="dxa"/>
            </w:tcMar>
            <w:vAlign w:val="center"/>
          </w:tcPr>
          <w:p w14:paraId="7B4DF45B" w14:textId="77777777" w:rsidR="00E70A53" w:rsidRPr="002E1CD2" w:rsidRDefault="08E1FDED" w:rsidP="08E1FDED">
            <w:pPr>
              <w:spacing w:after="0"/>
              <w:rPr>
                <w:rFonts w:asciiTheme="majorHAnsi" w:eastAsiaTheme="majorEastAsia" w:hAnsiTheme="majorHAnsi" w:cstheme="majorHAnsi"/>
                <w:b/>
                <w:bCs/>
                <w:sz w:val="20"/>
                <w:szCs w:val="20"/>
              </w:rPr>
            </w:pPr>
            <w:r w:rsidRPr="002E1CD2">
              <w:rPr>
                <w:rFonts w:asciiTheme="majorHAnsi" w:eastAsiaTheme="majorEastAsia" w:hAnsiTheme="majorHAnsi" w:cstheme="majorHAnsi"/>
                <w:b/>
                <w:bCs/>
                <w:sz w:val="20"/>
                <w:szCs w:val="20"/>
              </w:rPr>
              <w:t>WalkThrus</w:t>
            </w:r>
          </w:p>
        </w:tc>
        <w:tc>
          <w:tcPr>
            <w:tcW w:w="5184" w:type="dxa"/>
            <w:tcMar>
              <w:top w:w="90" w:type="dxa"/>
              <w:left w:w="100" w:type="dxa"/>
              <w:bottom w:w="90" w:type="dxa"/>
              <w:right w:w="100" w:type="dxa"/>
            </w:tcMar>
            <w:vAlign w:val="center"/>
          </w:tcPr>
          <w:p w14:paraId="5A0A18E0" w14:textId="6061A590" w:rsidR="00E70A53" w:rsidRPr="002E1CD2" w:rsidRDefault="08E1FDED" w:rsidP="08E1FDED">
            <w:pPr>
              <w:spacing w:after="0"/>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 xml:space="preserve">A shared professional-development approach </w:t>
            </w:r>
            <w:r w:rsidR="00B71FD0" w:rsidRPr="002E1CD2">
              <w:rPr>
                <w:rFonts w:asciiTheme="majorHAnsi" w:eastAsiaTheme="majorEastAsia" w:hAnsiTheme="majorHAnsi" w:cstheme="majorHAnsi"/>
                <w:sz w:val="20"/>
                <w:szCs w:val="20"/>
              </w:rPr>
              <w:t>is used</w:t>
            </w:r>
            <w:r w:rsidRPr="002E1CD2">
              <w:rPr>
                <w:rFonts w:asciiTheme="majorHAnsi" w:eastAsiaTheme="majorEastAsia" w:hAnsiTheme="majorHAnsi" w:cstheme="majorHAnsi"/>
                <w:sz w:val="20"/>
                <w:szCs w:val="20"/>
              </w:rPr>
              <w:t xml:space="preserve"> to establish clear, consistent teaching routines and adaptive practice.</w:t>
            </w:r>
          </w:p>
        </w:tc>
      </w:tr>
    </w:tbl>
    <w:p w14:paraId="342E70AA" w14:textId="77777777" w:rsidR="00E70A53" w:rsidRPr="002E1CD2" w:rsidRDefault="08E1FDED" w:rsidP="00D44AD1">
      <w:pPr>
        <w:pStyle w:val="Heading2"/>
        <w:jc w:val="center"/>
        <w:rPr>
          <w:rFonts w:cstheme="majorHAnsi"/>
          <w:color w:val="auto"/>
          <w:sz w:val="20"/>
          <w:szCs w:val="20"/>
        </w:rPr>
      </w:pPr>
      <w:r w:rsidRPr="002E1CD2">
        <w:rPr>
          <w:rFonts w:cstheme="majorHAnsi"/>
          <w:color w:val="auto"/>
          <w:sz w:val="20"/>
          <w:szCs w:val="20"/>
        </w:rPr>
        <w:t>Related school documents</w:t>
      </w:r>
    </w:p>
    <w:p w14:paraId="4AD658CA" w14:textId="77777777" w:rsidR="00E70A53" w:rsidRPr="002E1CD2" w:rsidRDefault="08E1FDED" w:rsidP="08E1FDED">
      <w:pPr>
        <w:rPr>
          <w:rFonts w:asciiTheme="majorHAnsi" w:eastAsiaTheme="majorEastAsia" w:hAnsiTheme="majorHAnsi" w:cstheme="majorHAnsi"/>
          <w:sz w:val="20"/>
          <w:szCs w:val="20"/>
        </w:rPr>
      </w:pPr>
      <w:r w:rsidRPr="002E1CD2">
        <w:rPr>
          <w:rFonts w:asciiTheme="majorHAnsi" w:eastAsiaTheme="majorEastAsia" w:hAnsiTheme="majorHAnsi" w:cstheme="majorHAnsi"/>
          <w:sz w:val="20"/>
          <w:szCs w:val="20"/>
        </w:rPr>
        <w:t>This concise guide should be read alongside the school’s Inclusion Strategy/SEND Information Report, SEND policy, OAIP materials, Accessibility Plan, individual Learning Plans and EHCP documentation where applicable.</w:t>
      </w:r>
    </w:p>
    <w:p w14:paraId="2F1C91A5" w14:textId="57FCC77E" w:rsidR="08E1FDED" w:rsidRPr="002E1CD2" w:rsidRDefault="08E1FDED" w:rsidP="08E1FDED">
      <w:pPr>
        <w:rPr>
          <w:rFonts w:asciiTheme="majorHAnsi" w:eastAsiaTheme="majorEastAsia" w:hAnsiTheme="majorHAnsi" w:cstheme="majorHAnsi"/>
          <w:sz w:val="20"/>
          <w:szCs w:val="20"/>
        </w:rPr>
      </w:pPr>
    </w:p>
    <w:p w14:paraId="6729EDCC" w14:textId="7A7A31FE" w:rsidR="00E70A53" w:rsidRPr="002E1CD2" w:rsidRDefault="00E70A53" w:rsidP="08E1FDED">
      <w:pPr>
        <w:rPr>
          <w:rFonts w:asciiTheme="majorHAnsi" w:eastAsiaTheme="majorEastAsia" w:hAnsiTheme="majorHAnsi" w:cstheme="majorHAnsi"/>
          <w:sz w:val="20"/>
          <w:szCs w:val="20"/>
        </w:rPr>
      </w:pPr>
    </w:p>
    <w:sectPr w:rsidR="00E70A53" w:rsidRPr="002E1CD2" w:rsidSect="00034616">
      <w:headerReference w:type="default" r:id="rId9"/>
      <w:footerReference w:type="default" r:id="rId10"/>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1DDF3" w14:textId="77777777" w:rsidR="002327CF" w:rsidRDefault="002327CF">
      <w:pPr>
        <w:spacing w:after="0" w:line="240" w:lineRule="auto"/>
      </w:pPr>
      <w:r>
        <w:separator/>
      </w:r>
    </w:p>
  </w:endnote>
  <w:endnote w:type="continuationSeparator" w:id="0">
    <w:p w14:paraId="2A0FF8B5" w14:textId="77777777" w:rsidR="002327CF" w:rsidRDefault="00232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4D5A5" w14:textId="54CB4E9A" w:rsidR="00E70A53" w:rsidRDefault="00EC6E2C">
    <w:pPr>
      <w:pStyle w:val="Footer"/>
      <w:jc w:val="center"/>
    </w:pPr>
    <w:r>
      <w:fldChar w:fldCharType="begin"/>
    </w:r>
    <w:r>
      <w:instrText>PAGE</w:instrText>
    </w:r>
    <w:r>
      <w:fldChar w:fldCharType="separate"/>
    </w:r>
    <w:r w:rsidR="0080337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31FFB" w14:textId="77777777" w:rsidR="002327CF" w:rsidRDefault="002327CF">
      <w:pPr>
        <w:spacing w:after="0" w:line="240" w:lineRule="auto"/>
      </w:pPr>
      <w:r>
        <w:separator/>
      </w:r>
    </w:p>
  </w:footnote>
  <w:footnote w:type="continuationSeparator" w:id="0">
    <w:p w14:paraId="7B8C08BE" w14:textId="77777777" w:rsidR="002327CF" w:rsidRDefault="002327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B5C70" w14:textId="6419167A" w:rsidR="00E70A53" w:rsidRDefault="08E1FDED" w:rsidP="08E1FDED">
    <w:pPr>
      <w:pStyle w:val="Header"/>
      <w:jc w:val="right"/>
      <w:rPr>
        <w:rFonts w:asciiTheme="majorHAnsi" w:eastAsiaTheme="majorEastAsia" w:hAnsiTheme="majorHAnsi" w:cstheme="majorBidi"/>
        <w:b/>
        <w:bCs/>
        <w:sz w:val="21"/>
        <w:szCs w:val="21"/>
      </w:rPr>
    </w:pPr>
    <w:r>
      <w:rPr>
        <w:noProof/>
      </w:rPr>
      <w:drawing>
        <wp:anchor distT="0" distB="0" distL="114300" distR="114300" simplePos="0" relativeHeight="251658240" behindDoc="0" locked="0" layoutInCell="1" allowOverlap="1" wp14:anchorId="13A7EF39" wp14:editId="262B77AC">
          <wp:simplePos x="0" y="0"/>
          <wp:positionH relativeFrom="column">
            <wp:posOffset>-457200</wp:posOffset>
          </wp:positionH>
          <wp:positionV relativeFrom="paragraph">
            <wp:posOffset>-381000</wp:posOffset>
          </wp:positionV>
          <wp:extent cx="673681" cy="591387"/>
          <wp:effectExtent l="0" t="0" r="0" b="0"/>
          <wp:wrapNone/>
          <wp:docPr id="4827283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24801" name="Picture 1670124801"/>
                  <pic:cNvPicPr/>
                </pic:nvPicPr>
                <pic:blipFill>
                  <a:blip r:embed="rId1">
                    <a:extLst>
                      <a:ext uri="{28A0092B-C50C-407E-A947-70E740481C1C}">
                        <a14:useLocalDpi xmlns:a14="http://schemas.microsoft.com/office/drawing/2010/main"/>
                      </a:ext>
                    </a:extLst>
                  </a:blip>
                  <a:stretch>
                    <a:fillRect/>
                  </a:stretch>
                </pic:blipFill>
                <pic:spPr>
                  <a:xfrm>
                    <a:off x="0" y="0"/>
                    <a:ext cx="673681" cy="591387"/>
                  </a:xfrm>
                  <a:prstGeom prst="rect">
                    <a:avLst/>
                  </a:prstGeom>
                </pic:spPr>
              </pic:pic>
            </a:graphicData>
          </a:graphic>
          <wp14:sizeRelH relativeFrom="page">
            <wp14:pctWidth>0</wp14:pctWidth>
          </wp14:sizeRelH>
          <wp14:sizeRelV relativeFrom="page">
            <wp14:pctHeight>0</wp14:pctHeight>
          </wp14:sizeRelV>
        </wp:anchor>
      </w:drawing>
    </w:r>
    <w:r w:rsidRPr="08E1FDED">
      <w:rPr>
        <w:rFonts w:asciiTheme="majorHAnsi" w:eastAsiaTheme="majorEastAsia" w:hAnsiTheme="majorHAnsi" w:cstheme="majorBidi"/>
        <w:b/>
        <w:bCs/>
        <w:sz w:val="21"/>
        <w:szCs w:val="21"/>
      </w:rPr>
      <w:t>NENE VALLEY PRIMARY SCHOOL |SENDV OFFER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68783280">
    <w:abstractNumId w:val="8"/>
  </w:num>
  <w:num w:numId="2" w16cid:durableId="1982997944">
    <w:abstractNumId w:val="6"/>
  </w:num>
  <w:num w:numId="3" w16cid:durableId="161627377">
    <w:abstractNumId w:val="5"/>
  </w:num>
  <w:num w:numId="4" w16cid:durableId="1115369098">
    <w:abstractNumId w:val="4"/>
  </w:num>
  <w:num w:numId="5" w16cid:durableId="2018846781">
    <w:abstractNumId w:val="7"/>
  </w:num>
  <w:num w:numId="6" w16cid:durableId="2111536738">
    <w:abstractNumId w:val="3"/>
  </w:num>
  <w:num w:numId="7" w16cid:durableId="1297182158">
    <w:abstractNumId w:val="2"/>
  </w:num>
  <w:num w:numId="8" w16cid:durableId="626353127">
    <w:abstractNumId w:val="1"/>
  </w:num>
  <w:num w:numId="9" w16cid:durableId="595482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27CF"/>
    <w:rsid w:val="0029639D"/>
    <w:rsid w:val="002E1CD2"/>
    <w:rsid w:val="00326F90"/>
    <w:rsid w:val="00327983"/>
    <w:rsid w:val="003B7E09"/>
    <w:rsid w:val="00472CB2"/>
    <w:rsid w:val="005868F6"/>
    <w:rsid w:val="00803379"/>
    <w:rsid w:val="00AA1D8D"/>
    <w:rsid w:val="00B47730"/>
    <w:rsid w:val="00B52575"/>
    <w:rsid w:val="00B64DDD"/>
    <w:rsid w:val="00B71FD0"/>
    <w:rsid w:val="00BC6B7E"/>
    <w:rsid w:val="00CB0664"/>
    <w:rsid w:val="00D44AD1"/>
    <w:rsid w:val="00D905CE"/>
    <w:rsid w:val="00E70A53"/>
    <w:rsid w:val="00EC6E2C"/>
    <w:rsid w:val="00F76E62"/>
    <w:rsid w:val="00F8283F"/>
    <w:rsid w:val="00FC693F"/>
    <w:rsid w:val="010E9785"/>
    <w:rsid w:val="021E6390"/>
    <w:rsid w:val="037F6DFA"/>
    <w:rsid w:val="060E91F2"/>
    <w:rsid w:val="08E1FDED"/>
    <w:rsid w:val="1001BAC1"/>
    <w:rsid w:val="13105053"/>
    <w:rsid w:val="152DDE52"/>
    <w:rsid w:val="161D6AEA"/>
    <w:rsid w:val="1D85E7A3"/>
    <w:rsid w:val="23763C1C"/>
    <w:rsid w:val="2FB69D07"/>
    <w:rsid w:val="30FB9D0C"/>
    <w:rsid w:val="32DF587F"/>
    <w:rsid w:val="3381475F"/>
    <w:rsid w:val="4065A5F0"/>
    <w:rsid w:val="40FE947A"/>
    <w:rsid w:val="456976D6"/>
    <w:rsid w:val="4A348106"/>
    <w:rsid w:val="51DC9968"/>
    <w:rsid w:val="52955090"/>
    <w:rsid w:val="5908F330"/>
    <w:rsid w:val="5EFDE973"/>
    <w:rsid w:val="71713917"/>
    <w:rsid w:val="79D560F7"/>
    <w:rsid w:val="7AE6CC57"/>
    <w:rsid w:val="7D257FB6"/>
    <w:rsid w:val="7F33E44D"/>
    <w:rsid w:val="7F54FB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BE10EB7-7D9E-4061-B554-131BB07A0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hAnsi="Aptos"/>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B7A78"/>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5B6573"/>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17365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160"/>
    </w:pPr>
    <w:rPr>
      <w:rFonts w:asciiTheme="majorHAnsi" w:eastAsiaTheme="majorEastAsia" w:hAnsiTheme="majorHAnsi" w:cstheme="majorBidi"/>
      <w:i/>
      <w:iCs/>
      <w:color w:val="2B7A78"/>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ind w:left="259" w:hanging="173"/>
      <w:contextualSpacing/>
    </w:pPr>
    <w:rPr>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1625</Words>
  <Characters>10503</Characters>
  <Application>Microsoft Office Word</Application>
  <DocSecurity>0</DocSecurity>
  <Lines>276</Lines>
  <Paragraphs>198</Paragraphs>
  <ScaleCrop>false</ScaleCrop>
  <Manager/>
  <Company/>
  <LinksUpToDate>false</LinksUpToDate>
  <CharactersWithSpaces>11930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Nene Valley Primary School SENDV Offer 2026-27</dc:title>
  <dc:subject>Concise SENDV offer for staff, families, governors and visitors</dc:subject>
  <dc:creator>Neil Reilly</dc:creator>
  <cp:keywords>SENDV, inclusion, adaptive teaching, OAIP, APDR, Meridian Trust</cp:keywords>
  <dc:description>generated by python-docx</dc:description>
  <cp:lastModifiedBy>Neil Reilly</cp:lastModifiedBy>
  <cp:revision>16</cp:revision>
  <dcterms:created xsi:type="dcterms:W3CDTF">2026-09-17T11:20:00Z</dcterms:created>
  <dcterms:modified xsi:type="dcterms:W3CDTF">2026-09-24T10:39:00Z</dcterms:modified>
  <cp:category/>
</cp:coreProperties>
</file>